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F73" w:rsidRPr="00C75F5B" w:rsidRDefault="001D1F73" w:rsidP="001D1F73">
      <w:pPr>
        <w:jc w:val="center"/>
        <w:rPr>
          <w:b/>
          <w:i/>
          <w:sz w:val="28"/>
          <w:szCs w:val="28"/>
          <w:lang w:val="uk-UA"/>
        </w:rPr>
      </w:pPr>
      <w:r w:rsidRPr="00A5653C">
        <w:rPr>
          <w:b/>
          <w:i/>
          <w:sz w:val="28"/>
          <w:szCs w:val="28"/>
          <w:lang w:val="uk-UA"/>
        </w:rPr>
        <w:t>Тема: Якість і конкурентоспроможність.</w:t>
      </w:r>
    </w:p>
    <w:p w:rsidR="001D1F73" w:rsidRDefault="001D1F73" w:rsidP="001D1F73">
      <w:pPr>
        <w:spacing w:before="120"/>
        <w:jc w:val="center"/>
        <w:rPr>
          <w:lang w:val="uk-UA"/>
        </w:rPr>
      </w:pPr>
      <w:r>
        <w:rPr>
          <w:lang w:val="uk-UA"/>
        </w:rPr>
        <w:t>План:</w:t>
      </w:r>
    </w:p>
    <w:p w:rsidR="001D1F73" w:rsidRDefault="001D1F73" w:rsidP="001D1F73">
      <w:pPr>
        <w:numPr>
          <w:ilvl w:val="0"/>
          <w:numId w:val="1"/>
        </w:numPr>
        <w:tabs>
          <w:tab w:val="left" w:pos="1080"/>
        </w:tabs>
        <w:ind w:left="0" w:firstLine="720"/>
        <w:jc w:val="both"/>
        <w:rPr>
          <w:lang w:val="uk-UA"/>
        </w:rPr>
      </w:pPr>
      <w:r>
        <w:rPr>
          <w:lang w:val="uk-UA"/>
        </w:rPr>
        <w:t>Поняття якості продукції.</w:t>
      </w:r>
    </w:p>
    <w:p w:rsidR="001D1F73" w:rsidRDefault="001D1F73" w:rsidP="001D1F73">
      <w:pPr>
        <w:numPr>
          <w:ilvl w:val="0"/>
          <w:numId w:val="1"/>
        </w:numPr>
        <w:tabs>
          <w:tab w:val="left" w:pos="1080"/>
        </w:tabs>
        <w:ind w:left="0" w:firstLine="720"/>
        <w:jc w:val="both"/>
        <w:rPr>
          <w:lang w:val="uk-UA"/>
        </w:rPr>
      </w:pPr>
      <w:r>
        <w:rPr>
          <w:lang w:val="uk-UA"/>
        </w:rPr>
        <w:t>Конкурентоспроможність продукції.</w:t>
      </w:r>
    </w:p>
    <w:p w:rsidR="001D1F73" w:rsidRDefault="001D1F73" w:rsidP="001D1F73">
      <w:pPr>
        <w:numPr>
          <w:ilvl w:val="0"/>
          <w:numId w:val="1"/>
        </w:numPr>
        <w:tabs>
          <w:tab w:val="left" w:pos="1080"/>
        </w:tabs>
        <w:ind w:left="0" w:firstLine="720"/>
        <w:jc w:val="both"/>
        <w:rPr>
          <w:lang w:val="uk-UA"/>
        </w:rPr>
      </w:pPr>
      <w:r>
        <w:rPr>
          <w:lang w:val="uk-UA"/>
        </w:rPr>
        <w:t>Конкурентоспроможність підприємства.</w:t>
      </w:r>
    </w:p>
    <w:p w:rsidR="001D1F73" w:rsidRDefault="001D1F73" w:rsidP="001D1F73">
      <w:pPr>
        <w:numPr>
          <w:ilvl w:val="0"/>
          <w:numId w:val="1"/>
        </w:numPr>
        <w:tabs>
          <w:tab w:val="left" w:pos="1080"/>
        </w:tabs>
        <w:ind w:left="0" w:firstLine="720"/>
        <w:jc w:val="both"/>
        <w:rPr>
          <w:lang w:val="uk-UA"/>
        </w:rPr>
      </w:pPr>
      <w:r>
        <w:rPr>
          <w:lang w:val="uk-UA"/>
        </w:rPr>
        <w:t>Функціонально-вартісний аналіз, його суть.</w:t>
      </w:r>
    </w:p>
    <w:p w:rsidR="001D1F73" w:rsidRDefault="001D1F73" w:rsidP="001D1F73">
      <w:pPr>
        <w:ind w:firstLine="720"/>
        <w:jc w:val="both"/>
        <w:rPr>
          <w:lang w:val="uk-UA"/>
        </w:rPr>
      </w:pPr>
    </w:p>
    <w:p w:rsidR="001D1F73" w:rsidRDefault="001D1F73" w:rsidP="001D1F73">
      <w:pPr>
        <w:ind w:firstLine="720"/>
        <w:jc w:val="both"/>
        <w:rPr>
          <w:lang w:val="uk-UA"/>
        </w:rPr>
      </w:pPr>
      <w:r>
        <w:rPr>
          <w:lang w:val="uk-UA"/>
        </w:rPr>
        <w:t>Якість – сукупність властивостей, що сприяють задоволенню потреб споживачів в конкретних умовах ринку.</w:t>
      </w:r>
    </w:p>
    <w:p w:rsidR="001D1F73" w:rsidRDefault="001D1F73" w:rsidP="001D1F73">
      <w:pPr>
        <w:ind w:firstLine="720"/>
        <w:jc w:val="both"/>
        <w:rPr>
          <w:lang w:val="uk-UA"/>
        </w:rPr>
      </w:pPr>
      <w:r>
        <w:rPr>
          <w:lang w:val="uk-UA"/>
        </w:rPr>
        <w:t>Показники якості:</w:t>
      </w:r>
    </w:p>
    <w:p w:rsidR="001D1F73" w:rsidRDefault="001D1F73" w:rsidP="001D1F73">
      <w:pPr>
        <w:numPr>
          <w:ilvl w:val="0"/>
          <w:numId w:val="4"/>
        </w:numPr>
        <w:tabs>
          <w:tab w:val="left" w:pos="1080"/>
        </w:tabs>
        <w:ind w:left="0" w:firstLine="720"/>
        <w:jc w:val="both"/>
        <w:rPr>
          <w:lang w:val="uk-UA"/>
        </w:rPr>
      </w:pPr>
      <w:r>
        <w:rPr>
          <w:lang w:val="uk-UA"/>
        </w:rPr>
        <w:t>показники призначення – характеризують основні функції з позиції використання виробу (Н : потужність, швидкодія);</w:t>
      </w:r>
    </w:p>
    <w:p w:rsidR="001D1F73" w:rsidRDefault="001D1F73" w:rsidP="001D1F73">
      <w:pPr>
        <w:numPr>
          <w:ilvl w:val="0"/>
          <w:numId w:val="4"/>
        </w:numPr>
        <w:tabs>
          <w:tab w:val="left" w:pos="1080"/>
        </w:tabs>
        <w:ind w:left="0" w:firstLine="720"/>
        <w:jc w:val="both"/>
        <w:rPr>
          <w:lang w:val="uk-UA"/>
        </w:rPr>
      </w:pPr>
      <w:r>
        <w:rPr>
          <w:lang w:val="uk-UA"/>
        </w:rPr>
        <w:t>показники надійності – це показники безвідмовності, граничний термін зберігання, час використання;</w:t>
      </w:r>
    </w:p>
    <w:p w:rsidR="001D1F73" w:rsidRDefault="001D1F73" w:rsidP="001D1F73">
      <w:pPr>
        <w:numPr>
          <w:ilvl w:val="0"/>
          <w:numId w:val="4"/>
        </w:numPr>
        <w:tabs>
          <w:tab w:val="left" w:pos="1080"/>
        </w:tabs>
        <w:ind w:left="0" w:firstLine="720"/>
        <w:jc w:val="both"/>
        <w:rPr>
          <w:lang w:val="uk-UA"/>
        </w:rPr>
      </w:pPr>
      <w:r>
        <w:rPr>
          <w:lang w:val="uk-UA"/>
        </w:rPr>
        <w:t>ергономічні показники – характеризують повільність конструкції приладів до потреби людини;</w:t>
      </w:r>
    </w:p>
    <w:p w:rsidR="001D1F73" w:rsidRDefault="001D1F73" w:rsidP="001D1F73">
      <w:pPr>
        <w:numPr>
          <w:ilvl w:val="0"/>
          <w:numId w:val="4"/>
        </w:numPr>
        <w:tabs>
          <w:tab w:val="left" w:pos="1080"/>
        </w:tabs>
        <w:ind w:left="0" w:firstLine="720"/>
        <w:jc w:val="both"/>
        <w:rPr>
          <w:lang w:val="uk-UA"/>
        </w:rPr>
      </w:pPr>
      <w:r>
        <w:rPr>
          <w:lang w:val="uk-UA"/>
        </w:rPr>
        <w:t>показники естетичності – раціональність форми, якість обробки, колір;</w:t>
      </w:r>
    </w:p>
    <w:p w:rsidR="001D1F73" w:rsidRDefault="001D1F73" w:rsidP="001D1F73">
      <w:pPr>
        <w:numPr>
          <w:ilvl w:val="0"/>
          <w:numId w:val="4"/>
        </w:numPr>
        <w:tabs>
          <w:tab w:val="left" w:pos="1080"/>
        </w:tabs>
        <w:ind w:left="0" w:firstLine="720"/>
        <w:jc w:val="both"/>
        <w:rPr>
          <w:lang w:val="uk-UA"/>
        </w:rPr>
      </w:pPr>
      <w:r>
        <w:rPr>
          <w:lang w:val="uk-UA"/>
        </w:rPr>
        <w:t>показники безпеки – час спрацювання захисних засобів;</w:t>
      </w:r>
    </w:p>
    <w:p w:rsidR="001D1F73" w:rsidRDefault="001D1F73" w:rsidP="001D1F73">
      <w:pPr>
        <w:numPr>
          <w:ilvl w:val="0"/>
          <w:numId w:val="4"/>
        </w:numPr>
        <w:tabs>
          <w:tab w:val="left" w:pos="1080"/>
        </w:tabs>
        <w:ind w:left="0" w:firstLine="720"/>
        <w:jc w:val="both"/>
        <w:rPr>
          <w:lang w:val="uk-UA"/>
        </w:rPr>
      </w:pPr>
      <w:r>
        <w:rPr>
          <w:lang w:val="uk-UA"/>
        </w:rPr>
        <w:t>транспортабельність – можливість транспортування;</w:t>
      </w:r>
    </w:p>
    <w:p w:rsidR="001D1F73" w:rsidRDefault="001D1F73" w:rsidP="001D1F73">
      <w:pPr>
        <w:numPr>
          <w:ilvl w:val="0"/>
          <w:numId w:val="4"/>
        </w:numPr>
        <w:tabs>
          <w:tab w:val="left" w:pos="1080"/>
        </w:tabs>
        <w:ind w:left="0" w:firstLine="720"/>
        <w:jc w:val="both"/>
        <w:rPr>
          <w:lang w:val="uk-UA"/>
        </w:rPr>
      </w:pPr>
      <w:r>
        <w:rPr>
          <w:lang w:val="uk-UA"/>
        </w:rPr>
        <w:t>екологічні показники – вміст шкідливих речовин, рівень токсичності;</w:t>
      </w:r>
    </w:p>
    <w:p w:rsidR="001D1F73" w:rsidRDefault="001D1F73" w:rsidP="001D1F73">
      <w:pPr>
        <w:numPr>
          <w:ilvl w:val="0"/>
          <w:numId w:val="4"/>
        </w:numPr>
        <w:tabs>
          <w:tab w:val="left" w:pos="1080"/>
        </w:tabs>
        <w:ind w:left="0" w:firstLine="720"/>
        <w:jc w:val="both"/>
        <w:rPr>
          <w:lang w:val="uk-UA"/>
        </w:rPr>
      </w:pPr>
      <w:r>
        <w:rPr>
          <w:lang w:val="uk-UA"/>
        </w:rPr>
        <w:t>показники стандартизації і уніфікації;</w:t>
      </w:r>
    </w:p>
    <w:p w:rsidR="001D1F73" w:rsidRDefault="001D1F73" w:rsidP="001D1F73">
      <w:pPr>
        <w:numPr>
          <w:ilvl w:val="0"/>
          <w:numId w:val="4"/>
        </w:numPr>
        <w:tabs>
          <w:tab w:val="left" w:pos="1080"/>
        </w:tabs>
        <w:ind w:left="0" w:firstLine="720"/>
        <w:jc w:val="both"/>
        <w:rPr>
          <w:lang w:val="uk-UA"/>
        </w:rPr>
      </w:pPr>
      <w:r>
        <w:rPr>
          <w:lang w:val="uk-UA"/>
        </w:rPr>
        <w:t>показники технологічності – характеризують економічність розробки виробу, трудомісткість, фондомісткість, матеріаломісткість, енергомісткість;</w:t>
      </w:r>
    </w:p>
    <w:p w:rsidR="001D1F73" w:rsidRDefault="001D1F73" w:rsidP="001D1F73">
      <w:pPr>
        <w:numPr>
          <w:ilvl w:val="0"/>
          <w:numId w:val="4"/>
        </w:numPr>
        <w:tabs>
          <w:tab w:val="left" w:pos="1080"/>
        </w:tabs>
        <w:ind w:left="0" w:firstLine="720"/>
        <w:jc w:val="both"/>
        <w:rPr>
          <w:lang w:val="uk-UA"/>
        </w:rPr>
      </w:pPr>
      <w:r>
        <w:rPr>
          <w:lang w:val="uk-UA"/>
        </w:rPr>
        <w:t>економічні показники: собівартість, експлуатаційні витрати при використанні приладу, ціна, капітальні вкладення (при виробництві виробу і капітальні вкладення у споживача виробу, тобто програмне забезпечення, навчання персоналу, розширення будівлі).</w:t>
      </w:r>
    </w:p>
    <w:p w:rsidR="001D1F73" w:rsidRDefault="001D1F73" w:rsidP="001D1F73">
      <w:pPr>
        <w:ind w:firstLine="720"/>
        <w:jc w:val="both"/>
        <w:rPr>
          <w:lang w:val="uk-UA"/>
        </w:rPr>
      </w:pPr>
      <w:r>
        <w:rPr>
          <w:lang w:val="uk-UA"/>
        </w:rPr>
        <w:t>Показники якості програмного продукту:</w:t>
      </w:r>
    </w:p>
    <w:p w:rsidR="001D1F73" w:rsidRDefault="001D1F73" w:rsidP="001D1F73">
      <w:pPr>
        <w:numPr>
          <w:ilvl w:val="0"/>
          <w:numId w:val="5"/>
        </w:numPr>
        <w:tabs>
          <w:tab w:val="left" w:pos="1080"/>
        </w:tabs>
        <w:ind w:left="0" w:firstLine="720"/>
        <w:jc w:val="both"/>
        <w:rPr>
          <w:lang w:val="uk-UA"/>
        </w:rPr>
      </w:pPr>
      <w:r>
        <w:rPr>
          <w:lang w:val="uk-UA"/>
        </w:rPr>
        <w:t>гнучкість;</w:t>
      </w:r>
    </w:p>
    <w:p w:rsidR="001D1F73" w:rsidRDefault="001D1F73" w:rsidP="001D1F73">
      <w:pPr>
        <w:numPr>
          <w:ilvl w:val="0"/>
          <w:numId w:val="5"/>
        </w:numPr>
        <w:tabs>
          <w:tab w:val="left" w:pos="1080"/>
        </w:tabs>
        <w:ind w:left="0" w:firstLine="720"/>
        <w:jc w:val="both"/>
        <w:rPr>
          <w:lang w:val="uk-UA"/>
        </w:rPr>
      </w:pPr>
      <w:r>
        <w:rPr>
          <w:lang w:val="uk-UA"/>
        </w:rPr>
        <w:t>адаптованість;</w:t>
      </w:r>
    </w:p>
    <w:p w:rsidR="001D1F73" w:rsidRDefault="001D1F73" w:rsidP="001D1F73">
      <w:pPr>
        <w:numPr>
          <w:ilvl w:val="0"/>
          <w:numId w:val="5"/>
        </w:numPr>
        <w:tabs>
          <w:tab w:val="left" w:pos="1080"/>
        </w:tabs>
        <w:ind w:left="0" w:firstLine="720"/>
        <w:jc w:val="both"/>
        <w:rPr>
          <w:lang w:val="uk-UA"/>
        </w:rPr>
      </w:pPr>
      <w:r>
        <w:rPr>
          <w:lang w:val="uk-UA"/>
        </w:rPr>
        <w:t>універсальність;</w:t>
      </w:r>
    </w:p>
    <w:p w:rsidR="001D1F73" w:rsidRDefault="001D1F73" w:rsidP="001D1F73">
      <w:pPr>
        <w:numPr>
          <w:ilvl w:val="0"/>
          <w:numId w:val="5"/>
        </w:numPr>
        <w:tabs>
          <w:tab w:val="left" w:pos="1080"/>
        </w:tabs>
        <w:ind w:left="0" w:firstLine="720"/>
        <w:jc w:val="both"/>
        <w:rPr>
          <w:lang w:val="uk-UA"/>
        </w:rPr>
      </w:pPr>
      <w:r>
        <w:rPr>
          <w:lang w:val="uk-UA"/>
        </w:rPr>
        <w:t>якість технічної документації;</w:t>
      </w:r>
    </w:p>
    <w:p w:rsidR="001D1F73" w:rsidRDefault="001D1F73" w:rsidP="001D1F73">
      <w:pPr>
        <w:numPr>
          <w:ilvl w:val="0"/>
          <w:numId w:val="5"/>
        </w:numPr>
        <w:tabs>
          <w:tab w:val="left" w:pos="1080"/>
        </w:tabs>
        <w:ind w:left="0" w:firstLine="720"/>
        <w:jc w:val="both"/>
        <w:rPr>
          <w:lang w:val="uk-UA"/>
        </w:rPr>
      </w:pPr>
      <w:r>
        <w:rPr>
          <w:lang w:val="uk-UA"/>
        </w:rPr>
        <w:t>об</w:t>
      </w:r>
      <w:r>
        <w:rPr>
          <w:lang w:val="en-US"/>
        </w:rPr>
        <w:t>’</w:t>
      </w:r>
      <w:r>
        <w:rPr>
          <w:lang w:val="uk-UA"/>
        </w:rPr>
        <w:t>єм пам</w:t>
      </w:r>
      <w:r>
        <w:rPr>
          <w:lang w:val="en-US"/>
        </w:rPr>
        <w:t>’</w:t>
      </w:r>
      <w:r>
        <w:rPr>
          <w:lang w:val="uk-UA"/>
        </w:rPr>
        <w:t>яті;</w:t>
      </w:r>
    </w:p>
    <w:p w:rsidR="001D1F73" w:rsidRDefault="001D1F73" w:rsidP="001D1F73">
      <w:pPr>
        <w:numPr>
          <w:ilvl w:val="0"/>
          <w:numId w:val="5"/>
        </w:numPr>
        <w:tabs>
          <w:tab w:val="left" w:pos="1080"/>
        </w:tabs>
        <w:ind w:left="0" w:firstLine="720"/>
        <w:jc w:val="both"/>
        <w:rPr>
          <w:lang w:val="uk-UA"/>
        </w:rPr>
      </w:pPr>
      <w:r>
        <w:rPr>
          <w:lang w:val="uk-UA"/>
        </w:rPr>
        <w:t>швидкодія.</w:t>
      </w:r>
    </w:p>
    <w:p w:rsidR="001D1F73" w:rsidRDefault="001D1F73" w:rsidP="001D1F73">
      <w:pPr>
        <w:ind w:firstLine="720"/>
        <w:jc w:val="both"/>
        <w:rPr>
          <w:lang w:val="uk-UA"/>
        </w:rPr>
      </w:pPr>
      <w:r>
        <w:rPr>
          <w:lang w:val="uk-UA"/>
        </w:rPr>
        <w:t>Конкурентоспроможність – це порівняльна характеристика товару, яка дає комплексну оцінку всій сукупності показників якості відносно вимог ринку і властивостей інших товарів.</w:t>
      </w:r>
    </w:p>
    <w:p w:rsidR="001D1F73" w:rsidRDefault="001D1F73" w:rsidP="001D1F73">
      <w:pPr>
        <w:ind w:firstLine="720"/>
        <w:jc w:val="both"/>
        <w:rPr>
          <w:lang w:val="uk-UA"/>
        </w:rPr>
      </w:pPr>
      <w:r>
        <w:rPr>
          <w:lang w:val="uk-UA"/>
        </w:rPr>
        <w:t>Для оцінки конкурентоспроможності:</w:t>
      </w:r>
    </w:p>
    <w:p w:rsidR="001D1F73" w:rsidRDefault="001D1F73" w:rsidP="001D1F73">
      <w:pPr>
        <w:ind w:firstLine="720"/>
        <w:jc w:val="both"/>
        <w:rPr>
          <w:lang w:val="uk-UA"/>
        </w:rPr>
      </w:pPr>
      <w:r>
        <w:rPr>
          <w:position w:val="-66"/>
        </w:rPr>
        <w:object w:dxaOrig="312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69.75pt" o:ole="">
            <v:imagedata r:id="rId6" o:title=""/>
          </v:shape>
          <o:OLEObject Type="Embed" ProgID="Equation.DSMT4" ShapeID="_x0000_i1025" DrawAspect="Content" ObjectID="_1425822157" r:id="rId7"/>
        </w:object>
      </w:r>
    </w:p>
    <w:p w:rsidR="001D1F73" w:rsidRDefault="001D1F73" w:rsidP="001D1F73">
      <w:pPr>
        <w:ind w:firstLine="720"/>
        <w:jc w:val="both"/>
        <w:rPr>
          <w:lang w:val="uk-UA"/>
        </w:rPr>
      </w:pPr>
      <w:r>
        <w:rPr>
          <w:position w:val="-12"/>
        </w:rPr>
        <w:object w:dxaOrig="440" w:dyaOrig="360">
          <v:shape id="_x0000_i1026" type="#_x0000_t75" style="width:21.75pt;height:18pt" o:ole="">
            <v:imagedata r:id="rId8" o:title=""/>
          </v:shape>
          <o:OLEObject Type="Embed" ProgID="Equation.DSMT4" ShapeID="_x0000_i1026" DrawAspect="Content" ObjectID="_1425822158" r:id="rId9"/>
        </w:object>
      </w:r>
      <w:r>
        <w:rPr>
          <w:lang w:val="uk-UA"/>
        </w:rPr>
        <w:t xml:space="preserve"> - ефективність споживання.</w:t>
      </w:r>
    </w:p>
    <w:p w:rsidR="001D1F73" w:rsidRDefault="001D1F73" w:rsidP="001D1F73">
      <w:pPr>
        <w:ind w:firstLine="720"/>
        <w:jc w:val="both"/>
        <w:rPr>
          <w:lang w:val="uk-UA"/>
        </w:rPr>
      </w:pPr>
      <w:r>
        <w:rPr>
          <w:lang w:val="uk-UA"/>
        </w:rPr>
        <w:t>Ціна споживання включає: ціна придбання (купівлі), затрати на використання, на ремонт і на утилізацію.</w:t>
      </w:r>
    </w:p>
    <w:p w:rsidR="001D1F73" w:rsidRDefault="001D1F73" w:rsidP="001D1F73">
      <w:pPr>
        <w:ind w:firstLine="720"/>
        <w:jc w:val="both"/>
        <w:rPr>
          <w:lang w:val="uk-UA"/>
        </w:rPr>
      </w:pPr>
      <w:r>
        <w:rPr>
          <w:lang w:val="uk-UA"/>
        </w:rPr>
        <w:t>Методика оцінки конкурентоспроможності:</w:t>
      </w:r>
    </w:p>
    <w:p w:rsidR="001D1F73" w:rsidRDefault="001D1F73" w:rsidP="001D1F73">
      <w:pPr>
        <w:ind w:firstLine="720"/>
        <w:jc w:val="both"/>
        <w:rPr>
          <w:lang w:val="uk-UA"/>
        </w:rPr>
      </w:pPr>
      <w:r>
        <w:rPr>
          <w:u w:val="single"/>
          <w:lang w:val="uk-UA"/>
        </w:rPr>
        <w:t>1 етап.</w:t>
      </w:r>
      <w:r>
        <w:rPr>
          <w:lang w:val="uk-UA"/>
        </w:rPr>
        <w:t xml:space="preserve"> Оцінка за технічними параметрами.</w:t>
      </w:r>
    </w:p>
    <w:p w:rsidR="001D1F73" w:rsidRDefault="001D1F73" w:rsidP="001D1F73">
      <w:pPr>
        <w:ind w:firstLine="720"/>
        <w:jc w:val="both"/>
        <w:rPr>
          <w:lang w:val="uk-UA"/>
        </w:rPr>
      </w:pPr>
      <w:r>
        <w:rPr>
          <w:u w:val="single"/>
          <w:lang w:val="uk-UA"/>
        </w:rPr>
        <w:t>2 етап.</w:t>
      </w:r>
      <w:r>
        <w:rPr>
          <w:lang w:val="uk-UA"/>
        </w:rPr>
        <w:t xml:space="preserve"> Оцінка за економічними показниками.</w:t>
      </w:r>
    </w:p>
    <w:p w:rsidR="001D1F73" w:rsidRDefault="001D1F73" w:rsidP="001D1F73">
      <w:pPr>
        <w:ind w:firstLine="720"/>
        <w:jc w:val="both"/>
        <w:rPr>
          <w:lang w:val="uk-UA"/>
        </w:rPr>
      </w:pPr>
      <w:r>
        <w:rPr>
          <w:lang w:val="uk-UA"/>
        </w:rPr>
        <w:t>На кожному етапі розраховується параметричний індекс:</w:t>
      </w:r>
    </w:p>
    <w:p w:rsidR="001D1F73" w:rsidRDefault="001D1F73" w:rsidP="001D1F73">
      <w:pPr>
        <w:ind w:firstLine="720"/>
        <w:jc w:val="both"/>
        <w:rPr>
          <w:lang w:val="uk-UA"/>
        </w:rPr>
      </w:pPr>
      <w:r>
        <w:rPr>
          <w:position w:val="-34"/>
        </w:rPr>
        <w:object w:dxaOrig="940" w:dyaOrig="760">
          <v:shape id="_x0000_i1027" type="#_x0000_t75" style="width:47.25pt;height:38.25pt" o:ole="">
            <v:imagedata r:id="rId10" o:title=""/>
          </v:shape>
          <o:OLEObject Type="Embed" ProgID="Equation.DSMT4" ShapeID="_x0000_i1027" DrawAspect="Content" ObjectID="_1425822159" r:id="rId11"/>
        </w:object>
      </w:r>
      <w:r>
        <w:rPr>
          <w:lang w:val="uk-UA"/>
        </w:rPr>
        <w:t>,</w:t>
      </w:r>
    </w:p>
    <w:p w:rsidR="001D1F73" w:rsidRDefault="001D1F73" w:rsidP="001D1F73">
      <w:pPr>
        <w:ind w:firstLine="720"/>
        <w:jc w:val="both"/>
        <w:rPr>
          <w:lang w:val="uk-UA"/>
        </w:rPr>
      </w:pPr>
      <w:r>
        <w:rPr>
          <w:lang w:val="uk-UA"/>
        </w:rPr>
        <w:t xml:space="preserve">де </w:t>
      </w:r>
      <w:r>
        <w:rPr>
          <w:position w:val="-14"/>
        </w:rPr>
        <w:object w:dxaOrig="400" w:dyaOrig="380">
          <v:shape id="_x0000_i1028" type="#_x0000_t75" style="width:20.25pt;height:18.75pt" o:ole="">
            <v:imagedata r:id="rId12" o:title=""/>
          </v:shape>
          <o:OLEObject Type="Embed" ProgID="Equation.DSMT4" ShapeID="_x0000_i1028" DrawAspect="Content" ObjectID="_1425822160" r:id="rId13"/>
        </w:object>
      </w:r>
      <w:r>
        <w:rPr>
          <w:lang w:val="uk-UA"/>
        </w:rPr>
        <w:t xml:space="preserve"> - фактичне значення і-того показника,</w:t>
      </w:r>
    </w:p>
    <w:p w:rsidR="001D1F73" w:rsidRDefault="001D1F73" w:rsidP="001D1F73">
      <w:pPr>
        <w:ind w:firstLine="720"/>
        <w:jc w:val="both"/>
        <w:rPr>
          <w:lang w:val="uk-UA"/>
        </w:rPr>
      </w:pPr>
      <w:r>
        <w:rPr>
          <w:position w:val="-14"/>
        </w:rPr>
        <w:object w:dxaOrig="380" w:dyaOrig="380">
          <v:shape id="_x0000_i1029" type="#_x0000_t75" style="width:18.75pt;height:18.75pt" o:ole="">
            <v:imagedata r:id="rId14" o:title=""/>
          </v:shape>
          <o:OLEObject Type="Embed" ProgID="Equation.DSMT4" ShapeID="_x0000_i1029" DrawAspect="Content" ObjectID="_1425822161" r:id="rId15"/>
        </w:object>
      </w:r>
      <w:r>
        <w:rPr>
          <w:lang w:val="uk-UA"/>
        </w:rPr>
        <w:t xml:space="preserve"> - нормативне значення (ідеальний зразок).</w:t>
      </w:r>
    </w:p>
    <w:p w:rsidR="001D1F73" w:rsidRDefault="001D1F73" w:rsidP="001D1F73">
      <w:pPr>
        <w:ind w:firstLine="720"/>
        <w:jc w:val="both"/>
        <w:rPr>
          <w:lang w:val="uk-UA"/>
        </w:rPr>
      </w:pPr>
      <w:r>
        <w:rPr>
          <w:lang w:val="uk-UA"/>
        </w:rPr>
        <w:t>Ці індекси розраховуються для усіх показників, які аналізуються. На 1 етапі технічні показники, на 2 етапі економічні показники.</w:t>
      </w:r>
    </w:p>
    <w:p w:rsidR="001D1F73" w:rsidRDefault="001D1F73" w:rsidP="001D1F73">
      <w:pPr>
        <w:ind w:firstLine="720"/>
        <w:jc w:val="both"/>
        <w:rPr>
          <w:lang w:val="uk-UA"/>
        </w:rPr>
      </w:pPr>
      <w:r>
        <w:rPr>
          <w:u w:val="single"/>
          <w:lang w:val="uk-UA"/>
        </w:rPr>
        <w:t>3 етап.</w:t>
      </w:r>
      <w:r>
        <w:rPr>
          <w:lang w:val="uk-UA"/>
        </w:rPr>
        <w:t xml:space="preserve"> Розраховуються узагальнені параметричні індекси.</w:t>
      </w:r>
    </w:p>
    <w:p w:rsidR="001D1F73" w:rsidRDefault="001D1F73" w:rsidP="001D1F73">
      <w:pPr>
        <w:ind w:firstLine="720"/>
        <w:jc w:val="both"/>
        <w:rPr>
          <w:lang w:val="uk-UA"/>
        </w:rPr>
      </w:pPr>
      <w:r>
        <w:rPr>
          <w:position w:val="-28"/>
        </w:rPr>
        <w:object w:dxaOrig="1960" w:dyaOrig="540">
          <v:shape id="_x0000_i1030" type="#_x0000_t75" style="width:98.25pt;height:27pt" o:ole="">
            <v:imagedata r:id="rId16" o:title=""/>
          </v:shape>
          <o:OLEObject Type="Embed" ProgID="Equation.DSMT4" ShapeID="_x0000_i1030" DrawAspect="Content" ObjectID="_1425822162" r:id="rId17"/>
        </w:object>
      </w:r>
      <w:r>
        <w:rPr>
          <w:lang w:val="uk-UA"/>
        </w:rPr>
        <w:t>,</w:t>
      </w:r>
    </w:p>
    <w:p w:rsidR="001D1F73" w:rsidRDefault="001D1F73" w:rsidP="001D1F73">
      <w:pPr>
        <w:ind w:firstLine="720"/>
        <w:jc w:val="both"/>
        <w:rPr>
          <w:lang w:val="uk-UA"/>
        </w:rPr>
      </w:pPr>
      <w:r>
        <w:rPr>
          <w:lang w:val="uk-UA"/>
        </w:rPr>
        <w:t xml:space="preserve">де </w:t>
      </w:r>
      <w:r>
        <w:rPr>
          <w:position w:val="-14"/>
        </w:rPr>
        <w:object w:dxaOrig="380" w:dyaOrig="380">
          <v:shape id="_x0000_i1031" type="#_x0000_t75" style="width:18.75pt;height:18.75pt" o:ole="">
            <v:imagedata r:id="rId18" o:title=""/>
          </v:shape>
          <o:OLEObject Type="Embed" ProgID="Equation.DSMT4" ShapeID="_x0000_i1031" DrawAspect="Content" ObjectID="_1425822163" r:id="rId19"/>
        </w:object>
      </w:r>
      <w:r>
        <w:rPr>
          <w:lang w:val="uk-UA"/>
        </w:rPr>
        <w:t xml:space="preserve"> - коефіцієнт важливості кожного і-того показника.</w:t>
      </w:r>
    </w:p>
    <w:p w:rsidR="001D1F73" w:rsidRDefault="001D1F73" w:rsidP="001D1F73">
      <w:pPr>
        <w:ind w:firstLine="720"/>
        <w:jc w:val="both"/>
        <w:rPr>
          <w:lang w:val="uk-UA"/>
        </w:rPr>
      </w:pPr>
      <w:r>
        <w:rPr>
          <w:position w:val="-28"/>
        </w:rPr>
        <w:object w:dxaOrig="2020" w:dyaOrig="540">
          <v:shape id="_x0000_i1032" type="#_x0000_t75" style="width:101.25pt;height:27pt" o:ole="">
            <v:imagedata r:id="rId20" o:title=""/>
          </v:shape>
          <o:OLEObject Type="Embed" ProgID="Equation.DSMT4" ShapeID="_x0000_i1032" DrawAspect="Content" ObjectID="_1425822164" r:id="rId21"/>
        </w:object>
      </w:r>
      <w:r>
        <w:rPr>
          <w:lang w:val="uk-UA"/>
        </w:rPr>
        <w:t xml:space="preserve"> </w:t>
      </w:r>
    </w:p>
    <w:p w:rsidR="001D1F73" w:rsidRDefault="001D1F73" w:rsidP="001D1F73">
      <w:pPr>
        <w:ind w:firstLine="720"/>
        <w:jc w:val="both"/>
        <w:rPr>
          <w:lang w:val="uk-UA"/>
        </w:rPr>
      </w:pPr>
      <w:r>
        <w:rPr>
          <w:position w:val="-14"/>
        </w:rPr>
        <w:object w:dxaOrig="380" w:dyaOrig="380">
          <v:shape id="_x0000_i1033" type="#_x0000_t75" style="width:18.75pt;height:18.75pt" o:ole="">
            <v:imagedata r:id="rId18" o:title=""/>
          </v:shape>
          <o:OLEObject Type="Embed" ProgID="Equation.DSMT4" ShapeID="_x0000_i1033" DrawAspect="Content" ObjectID="_1425822165" r:id="rId22"/>
        </w:object>
      </w:r>
      <w:r>
        <w:rPr>
          <w:lang w:val="uk-UA"/>
        </w:rPr>
        <w:t xml:space="preserve"> - коефіцієнт важливості , значимості характеризує ступінь пріоритетності і-того показника в сукупності показників, які аналізуються.</w:t>
      </w:r>
    </w:p>
    <w:p w:rsidR="001D1F73" w:rsidRDefault="001D1F73" w:rsidP="001D1F73">
      <w:pPr>
        <w:ind w:firstLine="720"/>
        <w:jc w:val="both"/>
      </w:pPr>
      <w:r>
        <w:rPr>
          <w:position w:val="-28"/>
        </w:rPr>
        <w:object w:dxaOrig="700" w:dyaOrig="540">
          <v:shape id="_x0000_i1034" type="#_x0000_t75" style="width:35.25pt;height:27pt" o:ole="">
            <v:imagedata r:id="rId23" o:title=""/>
          </v:shape>
          <o:OLEObject Type="Embed" ProgID="Equation.DSMT4" ShapeID="_x0000_i1034" DrawAspect="Content" ObjectID="_1425822166" r:id="rId24"/>
        </w:object>
      </w:r>
      <w:r>
        <w:t>=1</w:t>
      </w:r>
    </w:p>
    <w:p w:rsidR="001D1F73" w:rsidRDefault="001D1F73" w:rsidP="001D1F73">
      <w:pPr>
        <w:ind w:firstLine="720"/>
        <w:jc w:val="both"/>
        <w:rPr>
          <w:lang w:val="uk-UA"/>
        </w:rPr>
      </w:pPr>
      <w:r>
        <w:rPr>
          <w:lang w:val="uk-UA"/>
        </w:rPr>
        <w:t>Для визначення коефіцієнта важливості запрошуються 3-5 експертів, які оцінюють вибрані показники незалежно і об</w:t>
      </w:r>
      <w:r>
        <w:t>’</w:t>
      </w:r>
      <w:r>
        <w:rPr>
          <w:lang w:val="uk-UA"/>
        </w:rPr>
        <w:t>єктивно. Одержана від них інформація обробляється за стандартними процедурами методів експертних оцінок.</w:t>
      </w:r>
    </w:p>
    <w:p w:rsidR="001D1F73" w:rsidRDefault="001D1F73" w:rsidP="001D1F73">
      <w:pPr>
        <w:ind w:firstLine="720"/>
        <w:jc w:val="both"/>
        <w:rPr>
          <w:lang w:val="uk-UA"/>
        </w:rPr>
      </w:pPr>
      <w:r>
        <w:rPr>
          <w:u w:val="single"/>
          <w:lang w:val="uk-UA"/>
        </w:rPr>
        <w:t xml:space="preserve">4 етап. </w:t>
      </w:r>
      <w:r>
        <w:rPr>
          <w:lang w:val="uk-UA"/>
        </w:rPr>
        <w:t xml:space="preserve"> Розраховується узагальнений параметр, що характеризує співвідношення:</w:t>
      </w:r>
    </w:p>
    <w:p w:rsidR="001D1F73" w:rsidRDefault="001D1F73" w:rsidP="001D1F73">
      <w:pPr>
        <w:ind w:firstLine="720"/>
        <w:jc w:val="both"/>
        <w:rPr>
          <w:lang w:val="uk-UA"/>
        </w:rPr>
      </w:pPr>
      <w:r>
        <w:rPr>
          <w:position w:val="-28"/>
        </w:rPr>
        <w:object w:dxaOrig="1240" w:dyaOrig="700">
          <v:shape id="_x0000_i1035" type="#_x0000_t75" style="width:62.25pt;height:35.25pt" o:ole="">
            <v:imagedata r:id="rId25" o:title=""/>
          </v:shape>
          <o:OLEObject Type="Embed" ProgID="Equation.DSMT4" ShapeID="_x0000_i1035" DrawAspect="Content" ObjectID="_1425822167" r:id="rId26"/>
        </w:object>
      </w:r>
    </w:p>
    <w:p w:rsidR="001D1F73" w:rsidRDefault="001D1F73" w:rsidP="001D1F73">
      <w:pPr>
        <w:ind w:firstLine="720"/>
        <w:jc w:val="both"/>
        <w:rPr>
          <w:lang w:val="uk-UA"/>
        </w:rPr>
      </w:pPr>
      <w:r>
        <w:rPr>
          <w:lang w:val="uk-UA"/>
        </w:rPr>
        <w:t>Оцінка показників в динаміці.</w:t>
      </w:r>
    </w:p>
    <w:p w:rsidR="001D1F73" w:rsidRDefault="001D1F73" w:rsidP="001D1F73">
      <w:pPr>
        <w:ind w:firstLine="720"/>
        <w:jc w:val="both"/>
        <w:rPr>
          <w:lang w:val="uk-UA"/>
        </w:rPr>
      </w:pPr>
    </w:p>
    <w:p w:rsidR="001D1F73" w:rsidRDefault="001D1F73" w:rsidP="001D1F73">
      <w:pPr>
        <w:jc w:val="center"/>
        <w:rPr>
          <w:lang w:val="uk-UA"/>
        </w:rPr>
      </w:pPr>
      <w:r>
        <w:object w:dxaOrig="8018" w:dyaOrig="5367">
          <v:shape id="_x0000_i1036" type="#_x0000_t75" style="width:321pt;height:3in" o:ole="">
            <v:imagedata r:id="rId27" o:title=""/>
          </v:shape>
          <o:OLEObject Type="Embed" ProgID="Visio.Drawing.11" ShapeID="_x0000_i1036" DrawAspect="Content" ObjectID="_1425822168" r:id="rId28"/>
        </w:object>
      </w:r>
    </w:p>
    <w:p w:rsidR="001D1F73" w:rsidRDefault="001D1F73" w:rsidP="001D1F73">
      <w:pPr>
        <w:rPr>
          <w:lang w:val="uk-UA"/>
        </w:rPr>
      </w:pPr>
    </w:p>
    <w:p w:rsidR="001D1F73" w:rsidRDefault="001D1F73" w:rsidP="001D1F73">
      <w:pPr>
        <w:ind w:firstLine="709"/>
        <w:jc w:val="both"/>
        <w:rPr>
          <w:lang w:val="uk-UA"/>
        </w:rPr>
      </w:pPr>
      <w:r>
        <w:rPr>
          <w:lang w:val="uk-UA"/>
        </w:rPr>
        <w:t>Конкурентоспроможність підприємства.</w:t>
      </w:r>
    </w:p>
    <w:p w:rsidR="001D1F73" w:rsidRDefault="001D1F73" w:rsidP="001D1F73">
      <w:pPr>
        <w:ind w:firstLine="709"/>
        <w:jc w:val="both"/>
        <w:rPr>
          <w:lang w:val="uk-UA"/>
        </w:rPr>
      </w:pPr>
      <w:r>
        <w:rPr>
          <w:lang w:val="uk-UA"/>
        </w:rPr>
        <w:t>Це поняття має відносний характер.</w:t>
      </w:r>
    </w:p>
    <w:p w:rsidR="001D1F73" w:rsidRDefault="001D1F73" w:rsidP="001D1F73">
      <w:pPr>
        <w:ind w:firstLine="709"/>
        <w:jc w:val="both"/>
        <w:rPr>
          <w:lang w:val="uk-UA"/>
        </w:rPr>
      </w:pPr>
      <w:r>
        <w:rPr>
          <w:lang w:val="uk-UA"/>
        </w:rPr>
        <w:t>М. Портер</w:t>
      </w:r>
    </w:p>
    <w:p w:rsidR="001D1F73" w:rsidRDefault="001D1F73" w:rsidP="001D1F73">
      <w:pPr>
        <w:ind w:firstLine="709"/>
        <w:jc w:val="both"/>
        <w:rPr>
          <w:lang w:val="uk-UA"/>
        </w:rPr>
      </w:pPr>
      <w:r>
        <w:rPr>
          <w:lang w:val="uk-UA"/>
        </w:rPr>
        <w:t>Проблеми конкурентоспроможності:</w:t>
      </w:r>
    </w:p>
    <w:p w:rsidR="001D1F73" w:rsidRDefault="001D1F73" w:rsidP="001D1F73">
      <w:pPr>
        <w:numPr>
          <w:ilvl w:val="0"/>
          <w:numId w:val="6"/>
        </w:numPr>
        <w:tabs>
          <w:tab w:val="left" w:pos="1080"/>
        </w:tabs>
        <w:ind w:left="0" w:firstLine="709"/>
        <w:jc w:val="both"/>
        <w:rPr>
          <w:lang w:val="uk-UA"/>
        </w:rPr>
      </w:pPr>
      <w:r>
        <w:rPr>
          <w:lang w:val="uk-UA"/>
        </w:rPr>
        <w:t>вибір показників використання ресурсів (трудові, матеріальні, інформаційні, НМА);</w:t>
      </w:r>
    </w:p>
    <w:p w:rsidR="001D1F73" w:rsidRDefault="001D1F73" w:rsidP="001D1F73">
      <w:pPr>
        <w:numPr>
          <w:ilvl w:val="0"/>
          <w:numId w:val="6"/>
        </w:numPr>
        <w:tabs>
          <w:tab w:val="left" w:pos="1080"/>
        </w:tabs>
        <w:ind w:left="0" w:firstLine="709"/>
        <w:jc w:val="both"/>
        <w:rPr>
          <w:lang w:val="uk-UA"/>
        </w:rPr>
      </w:pPr>
      <w:r>
        <w:rPr>
          <w:lang w:val="uk-UA"/>
        </w:rPr>
        <w:t>вибір бази для порівняння (порівнювати можна лише ідентичне, схоже, об</w:t>
      </w:r>
      <w:r>
        <w:t>’</w:t>
      </w:r>
      <w:r>
        <w:rPr>
          <w:lang w:val="uk-UA"/>
        </w:rPr>
        <w:t>єми виробництва наближені);</w:t>
      </w:r>
    </w:p>
    <w:p w:rsidR="001D1F73" w:rsidRDefault="001D1F73" w:rsidP="001D1F73">
      <w:pPr>
        <w:numPr>
          <w:ilvl w:val="0"/>
          <w:numId w:val="6"/>
        </w:numPr>
        <w:tabs>
          <w:tab w:val="left" w:pos="1080"/>
        </w:tabs>
        <w:ind w:left="0" w:firstLine="709"/>
        <w:jc w:val="both"/>
        <w:rPr>
          <w:lang w:val="uk-UA"/>
        </w:rPr>
      </w:pPr>
      <w:r>
        <w:rPr>
          <w:lang w:val="uk-UA"/>
        </w:rPr>
        <w:t>наявність точної інформації про стан конкуренції.</w:t>
      </w:r>
    </w:p>
    <w:p w:rsidR="001D1F73" w:rsidRDefault="001D1F73" w:rsidP="001D1F73">
      <w:pPr>
        <w:pStyle w:val="a3"/>
        <w:spacing w:after="0"/>
        <w:ind w:firstLine="709"/>
        <w:jc w:val="both"/>
        <w:rPr>
          <w:lang w:val="uk-UA"/>
        </w:rPr>
      </w:pPr>
      <w:r>
        <w:rPr>
          <w:lang w:val="uk-UA"/>
        </w:rPr>
        <w:lastRenderedPageBreak/>
        <w:t>Визначення конкурентоспроможності продукції методом розрахунку одиничних та групових показників</w:t>
      </w:r>
    </w:p>
    <w:p w:rsidR="001D1F73" w:rsidRDefault="001D1F73" w:rsidP="001D1F73">
      <w:pPr>
        <w:ind w:firstLine="709"/>
        <w:jc w:val="both"/>
        <w:rPr>
          <w:lang w:val="uk-UA"/>
        </w:rPr>
      </w:pPr>
      <w:r>
        <w:rPr>
          <w:lang w:val="uk-UA"/>
        </w:rPr>
        <w:t>В основі даного – традиційного – методу лежить розрахунок одиничних та групових показників, на базі яких визначається інтегральний показник конкурентоспроможності. Розглянемо його більш детально.</w:t>
      </w:r>
    </w:p>
    <w:p w:rsidR="001D1F73" w:rsidRDefault="001D1F73" w:rsidP="001D1F73">
      <w:pPr>
        <w:ind w:firstLine="709"/>
        <w:jc w:val="both"/>
        <w:rPr>
          <w:lang w:val="uk-UA"/>
        </w:rPr>
      </w:pPr>
      <w:r>
        <w:rPr>
          <w:b/>
          <w:lang w:val="uk-UA"/>
        </w:rPr>
        <w:t>На першому етапі</w:t>
      </w:r>
      <w:r>
        <w:rPr>
          <w:lang w:val="uk-UA"/>
        </w:rPr>
        <w:t xml:space="preserve"> обирається база порівняння. У якості бази для порівняння може служити найкращий із вже існуючих на цільовому ринку або в світі товарів-конкурентів, або більш досконалий зразок, поява якого очікується в найближчому майбутньому, або деякий абстрактний еталон. Якщо розбити ці товари на три групи, а саме:</w:t>
      </w:r>
    </w:p>
    <w:p w:rsidR="001D1F73" w:rsidRDefault="001D1F73" w:rsidP="001D1F73">
      <w:pPr>
        <w:pStyle w:val="a5"/>
        <w:numPr>
          <w:ilvl w:val="0"/>
          <w:numId w:val="7"/>
        </w:numPr>
        <w:tabs>
          <w:tab w:val="left" w:pos="900"/>
        </w:tabs>
        <w:ind w:firstLine="153"/>
        <w:rPr>
          <w:lang w:val="uk-UA"/>
        </w:rPr>
      </w:pPr>
      <w:r>
        <w:rPr>
          <w:lang w:val="uk-UA"/>
        </w:rPr>
        <w:t>товари, що мають аналоги які були виведені на ринок;</w:t>
      </w:r>
    </w:p>
    <w:p w:rsidR="001D1F73" w:rsidRDefault="001D1F73" w:rsidP="001D1F73">
      <w:pPr>
        <w:pStyle w:val="a5"/>
        <w:numPr>
          <w:ilvl w:val="0"/>
          <w:numId w:val="7"/>
        </w:numPr>
        <w:tabs>
          <w:tab w:val="left" w:pos="900"/>
        </w:tabs>
        <w:ind w:firstLine="153"/>
        <w:rPr>
          <w:lang w:val="uk-UA"/>
        </w:rPr>
      </w:pPr>
      <w:r>
        <w:rPr>
          <w:lang w:val="uk-UA"/>
        </w:rPr>
        <w:t>товари, що мають аналоги які знаходяться на стадії розробки;</w:t>
      </w:r>
    </w:p>
    <w:p w:rsidR="001D1F73" w:rsidRDefault="001D1F73" w:rsidP="001D1F73">
      <w:pPr>
        <w:pStyle w:val="a5"/>
        <w:numPr>
          <w:ilvl w:val="0"/>
          <w:numId w:val="7"/>
        </w:numPr>
        <w:tabs>
          <w:tab w:val="left" w:pos="900"/>
        </w:tabs>
        <w:ind w:firstLine="153"/>
        <w:rPr>
          <w:lang w:val="uk-UA"/>
        </w:rPr>
      </w:pPr>
      <w:r>
        <w:rPr>
          <w:lang w:val="uk-UA"/>
        </w:rPr>
        <w:t>товари, що не мають аналогів.</w:t>
      </w:r>
    </w:p>
    <w:p w:rsidR="001D1F73" w:rsidRDefault="001D1F73" w:rsidP="001D1F73">
      <w:pPr>
        <w:ind w:firstLine="709"/>
        <w:jc w:val="both"/>
        <w:rPr>
          <w:lang w:val="uk-UA"/>
        </w:rPr>
      </w:pPr>
      <w:r>
        <w:rPr>
          <w:lang w:val="uk-UA"/>
        </w:rPr>
        <w:t>То отримуємо, що перший варіант бази порівняння краще використовувати для першої групи, другий – для групи 2, третій – для групи 3.</w:t>
      </w:r>
    </w:p>
    <w:p w:rsidR="001D1F73" w:rsidRDefault="001D1F73" w:rsidP="001D1F73">
      <w:pPr>
        <w:ind w:firstLine="709"/>
        <w:jc w:val="both"/>
        <w:rPr>
          <w:lang w:val="uk-UA"/>
        </w:rPr>
      </w:pPr>
      <w:r>
        <w:rPr>
          <w:b/>
          <w:lang w:val="uk-UA"/>
        </w:rPr>
        <w:t>На другому етапі</w:t>
      </w:r>
      <w:r>
        <w:rPr>
          <w:lang w:val="uk-UA"/>
        </w:rPr>
        <w:t xml:space="preserve"> виділяють найбільш значущі для споживача критерії. Вони діляться на дві групи: споживчі та економічні. Перші включають в себе якісні характеристики товару (продуктивність, габарити, екологічну безпеку, надійність і т.п.), другі – ціну товару, витрати на транспортування, монтаж та експлуатацію, що в цілому складає ціну споживання. Значення критерію у базисній моделі позначимо </w:t>
      </w:r>
      <w:r>
        <w:rPr>
          <w:i/>
          <w:lang w:val="uk-UA"/>
        </w:rPr>
        <w:t>Р</w:t>
      </w:r>
      <w:r>
        <w:rPr>
          <w:lang w:val="uk-UA"/>
        </w:rPr>
        <w:t xml:space="preserve">Б, а у порівняльного зразку – </w:t>
      </w:r>
      <w:r>
        <w:rPr>
          <w:i/>
          <w:lang w:val="uk-UA"/>
        </w:rPr>
        <w:t>Р</w:t>
      </w:r>
      <w:r>
        <w:rPr>
          <w:lang w:val="uk-UA"/>
        </w:rPr>
        <w:t>.</w:t>
      </w:r>
    </w:p>
    <w:p w:rsidR="001D1F73" w:rsidRDefault="001D1F73" w:rsidP="001D1F73">
      <w:pPr>
        <w:ind w:firstLine="709"/>
        <w:jc w:val="both"/>
        <w:rPr>
          <w:lang w:val="uk-UA"/>
        </w:rPr>
      </w:pPr>
      <w:r>
        <w:rPr>
          <w:b/>
          <w:lang w:val="uk-UA"/>
        </w:rPr>
        <w:t>На третьому етапі</w:t>
      </w:r>
      <w:r>
        <w:rPr>
          <w:lang w:val="uk-UA"/>
        </w:rPr>
        <w:t xml:space="preserve"> по кожному критерію розраховується одиничний показник конкурентоспроможності (</w:t>
      </w:r>
      <w:r>
        <w:rPr>
          <w:i/>
        </w:rPr>
        <w:t>q</w:t>
      </w:r>
      <w:r>
        <w:rPr>
          <w:i/>
          <w:vertAlign w:val="subscript"/>
        </w:rPr>
        <w:t>i</w:t>
      </w:r>
      <w:r>
        <w:t xml:space="preserve">). </w:t>
      </w:r>
      <w:r>
        <w:rPr>
          <w:lang w:val="uk-UA"/>
        </w:rPr>
        <w:t>Якщо зростання значення критерію спричиняє за собою підвищення якості, то:</w:t>
      </w:r>
    </w:p>
    <w:p w:rsidR="001D1F73" w:rsidRPr="001D1F73" w:rsidRDefault="001D1F73" w:rsidP="001D1F73">
      <w:pPr>
        <w:ind w:firstLine="709"/>
        <w:jc w:val="both"/>
        <w:rPr>
          <w:lang w:val="uk-UA"/>
        </w:rPr>
      </w:pPr>
      <m:oMathPara>
        <m:oMath>
          <m:sSub>
            <m:sSubPr>
              <m:ctrlPr>
                <w:rPr>
                  <w:rFonts w:ascii="Cambria Math" w:hAnsi="Cambria Math"/>
                  <w:i/>
                  <w:lang w:val="uk-UA"/>
                </w:rPr>
              </m:ctrlPr>
            </m:sSubPr>
            <m:e>
              <m:r>
                <w:rPr>
                  <w:rFonts w:ascii="Cambria Math" w:hAnsi="Cambria Math"/>
                </w:rPr>
                <m:t>q</m:t>
              </m:r>
            </m:e>
            <m:sub>
              <m:r>
                <w:rPr>
                  <w:rFonts w:ascii="Cambria Math" w:hAnsi="Cambria Math"/>
                </w:rPr>
                <m:t>i</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num>
            <m:den>
              <m:sSub>
                <m:sSubPr>
                  <m:ctrlPr>
                    <w:rPr>
                      <w:rFonts w:ascii="Cambria Math" w:hAnsi="Cambria Math"/>
                      <w:i/>
                      <w:lang w:val="uk-UA"/>
                    </w:rPr>
                  </m:ctrlPr>
                </m:sSubPr>
                <m:e>
                  <m:r>
                    <w:rPr>
                      <w:rFonts w:ascii="Cambria Math" w:hAnsi="Cambria Math"/>
                      <w:lang w:val="uk-UA"/>
                    </w:rPr>
                    <m:t>PБ</m:t>
                  </m:r>
                </m:e>
                <m:sub>
                  <m:r>
                    <w:rPr>
                      <w:rFonts w:ascii="Cambria Math" w:hAnsi="Cambria Math"/>
                      <w:lang w:val="uk-UA"/>
                    </w:rPr>
                    <m:t>i</m:t>
                  </m:r>
                </m:sub>
              </m:sSub>
            </m:den>
          </m:f>
          <m:r>
            <w:rPr>
              <w:rFonts w:ascii="Cambria Math" w:hAnsi="Cambria Math"/>
              <w:lang w:val="uk-UA"/>
            </w:rPr>
            <m:t xml:space="preserve">       (1)</m:t>
          </m:r>
        </m:oMath>
      </m:oMathPara>
    </w:p>
    <w:p w:rsidR="001D1F73" w:rsidRDefault="001D1F73" w:rsidP="001D1F73">
      <w:pPr>
        <w:ind w:firstLine="709"/>
        <w:jc w:val="both"/>
        <w:rPr>
          <w:lang w:val="uk-UA"/>
        </w:rPr>
      </w:pPr>
      <w:r w:rsidRPr="00247DEB">
        <w:rPr>
          <w:lang w:val="uk-UA"/>
        </w:rPr>
        <w:t>а якщо зниження, то:</w:t>
      </w:r>
    </w:p>
    <w:p w:rsidR="001D1F73" w:rsidRPr="001D1F73" w:rsidRDefault="001D1F73" w:rsidP="001D1F73">
      <w:pPr>
        <w:ind w:firstLine="709"/>
        <w:jc w:val="both"/>
        <w:rPr>
          <w:lang w:val="uk-UA"/>
        </w:rPr>
      </w:pPr>
      <m:oMathPara>
        <m:oMath>
          <m:sSub>
            <m:sSubPr>
              <m:ctrlPr>
                <w:rPr>
                  <w:rFonts w:ascii="Cambria Math" w:hAnsi="Cambria Math"/>
                  <w:i/>
                  <w:lang w:val="uk-UA"/>
                </w:rPr>
              </m:ctrlPr>
            </m:sSubPr>
            <m:e>
              <m:r>
                <w:rPr>
                  <w:rFonts w:ascii="Cambria Math" w:hAnsi="Cambria Math"/>
                </w:rPr>
                <m:t>q</m:t>
              </m:r>
            </m:e>
            <m:sub>
              <m:r>
                <w:rPr>
                  <w:rFonts w:ascii="Cambria Math" w:hAnsi="Cambria Math"/>
                </w:rPr>
                <m:t>i</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PБ</m:t>
                  </m:r>
                </m:e>
                <m:sub>
                  <m:r>
                    <w:rPr>
                      <w:rFonts w:ascii="Cambria Math" w:hAnsi="Cambria Math"/>
                      <w:lang w:val="uk-UA"/>
                    </w:rPr>
                    <m:t>i</m:t>
                  </m:r>
                </m:sub>
              </m:sSub>
            </m:num>
            <m:den>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den>
          </m:f>
          <m:r>
            <w:rPr>
              <w:rFonts w:ascii="Cambria Math" w:hAnsi="Cambria Math"/>
              <w:lang w:val="uk-UA"/>
            </w:rPr>
            <m:t xml:space="preserve">       (2)</m:t>
          </m:r>
        </m:oMath>
      </m:oMathPara>
    </w:p>
    <w:p w:rsidR="001D1F73" w:rsidRDefault="001D1F73" w:rsidP="001D1F73">
      <w:pPr>
        <w:ind w:firstLine="709"/>
        <w:jc w:val="both"/>
        <w:rPr>
          <w:lang w:val="uk-UA"/>
        </w:rPr>
      </w:pPr>
      <w:r>
        <w:rPr>
          <w:b/>
          <w:lang w:val="uk-UA"/>
        </w:rPr>
        <w:t>На четвертому етапі</w:t>
      </w:r>
      <w:r>
        <w:rPr>
          <w:lang w:val="uk-UA"/>
        </w:rPr>
        <w:t xml:space="preserve"> всередині кожної групи критеріїв проводять ранжування показників по степені їх значущості для споживача і у відповідності до цього присвоюють їм вагу: </w:t>
      </w:r>
      <w:r>
        <w:rPr>
          <w:i/>
          <w:lang w:val="uk-UA"/>
        </w:rPr>
        <w:t>а</w:t>
      </w:r>
      <w:r>
        <w:rPr>
          <w:i/>
          <w:vertAlign w:val="subscript"/>
          <w:lang w:val="uk-UA"/>
        </w:rPr>
        <w:t>сі</w:t>
      </w:r>
      <w:r>
        <w:rPr>
          <w:lang w:val="uk-UA"/>
        </w:rPr>
        <w:t xml:space="preserve"> – для споживчих та </w:t>
      </w:r>
      <w:r>
        <w:rPr>
          <w:i/>
          <w:lang w:val="uk-UA"/>
        </w:rPr>
        <w:t>а</w:t>
      </w:r>
      <w:r>
        <w:rPr>
          <w:i/>
          <w:vertAlign w:val="subscript"/>
          <w:lang w:val="uk-UA"/>
        </w:rPr>
        <w:t>еі</w:t>
      </w:r>
      <w:r>
        <w:rPr>
          <w:lang w:val="uk-UA"/>
        </w:rPr>
        <w:t xml:space="preserve"> – для економічних показників. При чому, </w:t>
      </w:r>
    </w:p>
    <w:p w:rsidR="001D1F73" w:rsidRPr="001D1F73" w:rsidRDefault="001D1F73" w:rsidP="001D1F73">
      <w:pPr>
        <w:ind w:firstLine="709"/>
        <w:jc w:val="both"/>
        <w:rPr>
          <w:lang w:val="uk-UA"/>
        </w:rPr>
      </w:pPr>
      <m:oMathPara>
        <m:oMath>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ci</m:t>
                  </m:r>
                </m:sub>
              </m:sSub>
              <m:r>
                <w:rPr>
                  <w:rFonts w:ascii="Cambria Math" w:hAnsi="Cambria Math"/>
                  <w:lang w:val="uk-UA"/>
                </w:rPr>
                <m:t>=</m:t>
              </m:r>
            </m:e>
          </m:nary>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m:t>
              </m:r>
            </m:sup>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ei</m:t>
                  </m:r>
                </m:sub>
              </m:sSub>
            </m:e>
          </m:nary>
          <m:r>
            <w:rPr>
              <w:rFonts w:ascii="Cambria Math" w:hAnsi="Cambria Math"/>
              <w:lang w:val="uk-UA"/>
            </w:rPr>
            <m:t xml:space="preserve">     (3)</m:t>
          </m:r>
        </m:oMath>
      </m:oMathPara>
    </w:p>
    <w:p w:rsidR="001D1F73" w:rsidRDefault="001D1F73" w:rsidP="001D1F73">
      <w:pPr>
        <w:ind w:firstLine="709"/>
        <w:jc w:val="both"/>
        <w:rPr>
          <w:lang w:val="uk-UA"/>
        </w:rPr>
      </w:pPr>
      <w:r>
        <w:rPr>
          <w:lang w:val="uk-UA"/>
        </w:rPr>
        <w:t xml:space="preserve">де </w:t>
      </w:r>
      <w:r>
        <w:rPr>
          <w:i/>
          <w:lang w:val="uk-UA"/>
        </w:rPr>
        <w:t>n</w:t>
      </w:r>
      <w:r>
        <w:rPr>
          <w:lang w:val="uk-UA"/>
        </w:rPr>
        <w:t xml:space="preserve"> та </w:t>
      </w:r>
      <w:r>
        <w:rPr>
          <w:i/>
          <w:lang w:val="uk-UA"/>
        </w:rPr>
        <w:t xml:space="preserve">m </w:t>
      </w:r>
      <w:r>
        <w:rPr>
          <w:lang w:val="uk-UA"/>
        </w:rPr>
        <w:t>– кількість споживчих та економічних показників відповідно.</w:t>
      </w:r>
    </w:p>
    <w:p w:rsidR="001D1F73" w:rsidRDefault="001D1F73" w:rsidP="001D1F73">
      <w:pPr>
        <w:ind w:firstLine="709"/>
        <w:jc w:val="both"/>
        <w:rPr>
          <w:lang w:val="uk-UA"/>
        </w:rPr>
      </w:pPr>
      <w:r>
        <w:rPr>
          <w:lang w:val="uk-UA"/>
        </w:rPr>
        <w:t>Необхідність дотримання цієї рівності обґрунтуємо нижче.</w:t>
      </w:r>
    </w:p>
    <w:p w:rsidR="001D1F73" w:rsidRDefault="001D1F73" w:rsidP="001D1F73">
      <w:pPr>
        <w:ind w:firstLine="709"/>
        <w:jc w:val="both"/>
        <w:rPr>
          <w:lang w:val="uk-UA"/>
        </w:rPr>
      </w:pPr>
      <w:r>
        <w:rPr>
          <w:b/>
          <w:lang w:val="uk-UA"/>
        </w:rPr>
        <w:t>На п’ятому етапі</w:t>
      </w:r>
      <w:r>
        <w:rPr>
          <w:lang w:val="uk-UA"/>
        </w:rPr>
        <w:t xml:space="preserve"> проводиться розрахунок групового показника як зведеного параметричного індексу конкурентноздатності:</w:t>
      </w:r>
    </w:p>
    <w:p w:rsidR="001D1F73" w:rsidRPr="001D1F73" w:rsidRDefault="001D1F73" w:rsidP="001D1F73">
      <w:pPr>
        <w:ind w:firstLine="709"/>
        <w:jc w:val="both"/>
        <w:rPr>
          <w:lang w:val="uk-UA"/>
        </w:rPr>
      </w:pPr>
      <m:oMathPara>
        <m:oMath>
          <m:sSub>
            <m:sSubPr>
              <m:ctrlPr>
                <w:rPr>
                  <w:rFonts w:ascii="Cambria Math" w:hAnsi="Cambria Math"/>
                  <w:i/>
                  <w:lang w:val="uk-UA"/>
                </w:rPr>
              </m:ctrlPr>
            </m:sSubPr>
            <m:e>
              <m:r>
                <w:rPr>
                  <w:rFonts w:ascii="Cambria Math" w:hAnsi="Cambria Math"/>
                </w:rPr>
                <m:t>Q</m:t>
              </m:r>
            </m:e>
            <m:sub>
              <m:r>
                <w:rPr>
                  <w:rFonts w:ascii="Cambria Math" w:hAnsi="Cambria Math"/>
                  <w:lang w:val="uk-UA"/>
                </w:rPr>
                <m:t>c</m:t>
              </m:r>
            </m:sub>
          </m:sSub>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ci</m:t>
                  </m:r>
                </m:sub>
              </m:sSub>
            </m:e>
          </m:nary>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4</m:t>
              </m:r>
            </m:e>
          </m:d>
          <m:r>
            <w:rPr>
              <w:rFonts w:ascii="Cambria Math" w:hAnsi="Cambria Math"/>
              <w:lang w:val="uk-UA"/>
            </w:rPr>
            <m:t xml:space="preserve">         </m:t>
          </m:r>
          <m:sSub>
            <m:sSubPr>
              <m:ctrlPr>
                <w:rPr>
                  <w:rFonts w:ascii="Cambria Math" w:hAnsi="Cambria Math"/>
                  <w:i/>
                  <w:lang w:val="uk-UA"/>
                </w:rPr>
              </m:ctrlPr>
            </m:sSubPr>
            <m:e>
              <m:r>
                <w:rPr>
                  <w:rFonts w:ascii="Cambria Math" w:hAnsi="Cambria Math"/>
                </w:rPr>
                <m:t>Q</m:t>
              </m:r>
            </m:e>
            <m:sub>
              <m:r>
                <w:rPr>
                  <w:rFonts w:ascii="Cambria Math" w:hAnsi="Cambria Math"/>
                  <w:lang w:val="uk-UA"/>
                </w:rPr>
                <m:t>e</m:t>
              </m:r>
            </m:sub>
          </m:sSub>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m:t>
              </m:r>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ei</m:t>
                  </m:r>
                </m:sub>
              </m:sSub>
            </m:e>
          </m:nary>
          <m:r>
            <w:rPr>
              <w:rFonts w:ascii="Cambria Math" w:hAnsi="Cambria Math"/>
              <w:lang w:val="uk-UA"/>
            </w:rPr>
            <m:t xml:space="preserve">     (5)</m:t>
          </m:r>
        </m:oMath>
      </m:oMathPara>
    </w:p>
    <w:p w:rsidR="001D1F73" w:rsidRDefault="001D1F73" w:rsidP="001D1F73">
      <w:pPr>
        <w:ind w:firstLine="709"/>
        <w:jc w:val="both"/>
        <w:rPr>
          <w:lang w:val="uk-UA"/>
        </w:rPr>
      </w:pPr>
      <w:r>
        <w:rPr>
          <w:lang w:val="uk-UA"/>
        </w:rPr>
        <w:t xml:space="preserve">де </w:t>
      </w:r>
      <w:r>
        <w:rPr>
          <w:i/>
        </w:rPr>
        <w:t>Q</w:t>
      </w:r>
      <w:r>
        <w:rPr>
          <w:i/>
          <w:vertAlign w:val="subscript"/>
        </w:rPr>
        <w:t>c</w:t>
      </w:r>
      <w:r>
        <w:rPr>
          <w:lang w:val="uk-UA"/>
        </w:rPr>
        <w:t xml:space="preserve"> та </w:t>
      </w:r>
      <w:r>
        <w:rPr>
          <w:i/>
        </w:rPr>
        <w:t>Q</w:t>
      </w:r>
      <w:r>
        <w:rPr>
          <w:i/>
          <w:vertAlign w:val="subscript"/>
        </w:rPr>
        <w:t>e</w:t>
      </w:r>
      <w:r>
        <w:rPr>
          <w:i/>
          <w:lang w:val="uk-UA"/>
        </w:rPr>
        <w:t xml:space="preserve"> </w:t>
      </w:r>
      <w:r>
        <w:rPr>
          <w:lang w:val="uk-UA"/>
        </w:rPr>
        <w:t>–</w:t>
      </w:r>
      <w:r>
        <w:t xml:space="preserve"> </w:t>
      </w:r>
      <w:r>
        <w:rPr>
          <w:lang w:val="uk-UA"/>
        </w:rPr>
        <w:t>зведені параметричні індекси конкурентноздатності по споживчим та економічним властивостям відповідно.</w:t>
      </w:r>
    </w:p>
    <w:p w:rsidR="001D1F73" w:rsidRDefault="001D1F73" w:rsidP="001D1F73">
      <w:pPr>
        <w:ind w:firstLine="709"/>
        <w:jc w:val="both"/>
        <w:rPr>
          <w:lang w:val="uk-UA"/>
        </w:rPr>
      </w:pPr>
      <w:r>
        <w:rPr>
          <w:lang w:val="uk-UA"/>
        </w:rPr>
        <w:t xml:space="preserve">Повернемося до рівності (3). Її дотримання забезпечує порівнянність </w:t>
      </w:r>
      <w:r>
        <w:rPr>
          <w:i/>
        </w:rPr>
        <w:t>Q</w:t>
      </w:r>
      <w:r>
        <w:rPr>
          <w:i/>
          <w:vertAlign w:val="subscript"/>
        </w:rPr>
        <w:t>c</w:t>
      </w:r>
      <w:r>
        <w:rPr>
          <w:lang w:val="uk-UA"/>
        </w:rPr>
        <w:t xml:space="preserve"> та </w:t>
      </w:r>
      <w:r>
        <w:rPr>
          <w:i/>
        </w:rPr>
        <w:t>Q</w:t>
      </w:r>
      <w:r>
        <w:rPr>
          <w:i/>
          <w:vertAlign w:val="subscript"/>
        </w:rPr>
        <w:t>e</w:t>
      </w:r>
      <w:r>
        <w:rPr>
          <w:lang w:val="uk-UA"/>
        </w:rPr>
        <w:t xml:space="preserve"> у незалежності від кількості розглядуваних критеріїв.</w:t>
      </w:r>
    </w:p>
    <w:p w:rsidR="001D1F73" w:rsidRDefault="001D1F73" w:rsidP="001D1F73">
      <w:pPr>
        <w:ind w:firstLine="709"/>
        <w:jc w:val="both"/>
        <w:rPr>
          <w:b/>
          <w:lang w:val="uk-UA"/>
        </w:rPr>
      </w:pPr>
      <w:r>
        <w:rPr>
          <w:b/>
          <w:lang w:val="uk-UA"/>
        </w:rPr>
        <w:t>Розглянемо приклад.</w:t>
      </w:r>
    </w:p>
    <w:p w:rsidR="001D1F73" w:rsidRDefault="001D1F73" w:rsidP="001D1F73">
      <w:pPr>
        <w:ind w:firstLine="709"/>
        <w:jc w:val="both"/>
        <w:rPr>
          <w:lang w:val="uk-UA"/>
        </w:rPr>
      </w:pPr>
      <w:r>
        <w:rPr>
          <w:lang w:val="uk-UA"/>
        </w:rPr>
        <w:t>При порівнянні двох зразків по трьом споживчим критеріям отримали наступні пари значень  (</w:t>
      </w:r>
      <w:r>
        <w:rPr>
          <w:i/>
          <w:lang w:val="uk-UA"/>
        </w:rPr>
        <w:t>а</w:t>
      </w:r>
      <w:r>
        <w:rPr>
          <w:i/>
          <w:vertAlign w:val="subscript"/>
          <w:lang w:val="uk-UA"/>
        </w:rPr>
        <w:t>сі</w:t>
      </w:r>
      <w:r>
        <w:rPr>
          <w:i/>
          <w:vertAlign w:val="subscript"/>
        </w:rPr>
        <w:t xml:space="preserve"> </w:t>
      </w:r>
      <w:r>
        <w:rPr>
          <w:i/>
          <w:lang w:val="uk-UA"/>
        </w:rPr>
        <w:t xml:space="preserve"> ;</w:t>
      </w:r>
      <w:r>
        <w:rPr>
          <w:i/>
        </w:rPr>
        <w:t xml:space="preserve"> q</w:t>
      </w:r>
      <w:r>
        <w:rPr>
          <w:i/>
          <w:vertAlign w:val="subscript"/>
          <w:lang w:val="uk-UA"/>
        </w:rPr>
        <w:t>і</w:t>
      </w:r>
      <w:r>
        <w:t xml:space="preserve">): </w:t>
      </w:r>
      <w:r>
        <w:rPr>
          <w:lang w:val="uk-UA"/>
        </w:rPr>
        <w:t>(</w:t>
      </w:r>
      <w:r>
        <w:rPr>
          <w:i/>
          <w:lang w:val="uk-UA"/>
        </w:rPr>
        <w:t>а</w:t>
      </w:r>
      <w:r>
        <w:rPr>
          <w:i/>
          <w:vertAlign w:val="subscript"/>
          <w:lang w:val="uk-UA"/>
        </w:rPr>
        <w:t>с1</w:t>
      </w:r>
      <w:r>
        <w:rPr>
          <w:i/>
          <w:vertAlign w:val="subscript"/>
        </w:rPr>
        <w:t xml:space="preserve"> </w:t>
      </w:r>
      <w:r>
        <w:rPr>
          <w:i/>
          <w:lang w:val="uk-UA"/>
        </w:rPr>
        <w:t xml:space="preserve"> ;</w:t>
      </w:r>
      <w:r>
        <w:rPr>
          <w:i/>
        </w:rPr>
        <w:t xml:space="preserve"> q</w:t>
      </w:r>
      <w:r>
        <w:rPr>
          <w:i/>
          <w:vertAlign w:val="subscript"/>
          <w:lang w:val="uk-UA"/>
        </w:rPr>
        <w:t>1</w:t>
      </w:r>
      <w:r>
        <w:t xml:space="preserve">), </w:t>
      </w:r>
      <w:r>
        <w:rPr>
          <w:lang w:val="uk-UA"/>
        </w:rPr>
        <w:t>(</w:t>
      </w:r>
      <w:r>
        <w:rPr>
          <w:i/>
          <w:lang w:val="uk-UA"/>
        </w:rPr>
        <w:t>а</w:t>
      </w:r>
      <w:r>
        <w:rPr>
          <w:i/>
          <w:vertAlign w:val="subscript"/>
          <w:lang w:val="uk-UA"/>
        </w:rPr>
        <w:t>с2</w:t>
      </w:r>
      <w:r>
        <w:rPr>
          <w:i/>
          <w:vertAlign w:val="subscript"/>
        </w:rPr>
        <w:t xml:space="preserve"> </w:t>
      </w:r>
      <w:r>
        <w:rPr>
          <w:i/>
          <w:lang w:val="uk-UA"/>
        </w:rPr>
        <w:t xml:space="preserve"> ;</w:t>
      </w:r>
      <w:r>
        <w:rPr>
          <w:i/>
        </w:rPr>
        <w:t xml:space="preserve"> q</w:t>
      </w:r>
      <w:r>
        <w:rPr>
          <w:i/>
          <w:vertAlign w:val="subscript"/>
          <w:lang w:val="uk-UA"/>
        </w:rPr>
        <w:t>2</w:t>
      </w:r>
      <w:r>
        <w:t xml:space="preserve">), </w:t>
      </w:r>
      <w:r>
        <w:rPr>
          <w:lang w:val="uk-UA"/>
        </w:rPr>
        <w:t>(</w:t>
      </w:r>
      <w:r>
        <w:rPr>
          <w:i/>
          <w:lang w:val="uk-UA"/>
        </w:rPr>
        <w:t>а</w:t>
      </w:r>
      <w:r>
        <w:rPr>
          <w:i/>
          <w:vertAlign w:val="subscript"/>
          <w:lang w:val="uk-UA"/>
        </w:rPr>
        <w:t>с3</w:t>
      </w:r>
      <w:r>
        <w:rPr>
          <w:i/>
          <w:vertAlign w:val="subscript"/>
        </w:rPr>
        <w:t xml:space="preserve"> </w:t>
      </w:r>
      <w:r>
        <w:rPr>
          <w:i/>
          <w:lang w:val="uk-UA"/>
        </w:rPr>
        <w:t xml:space="preserve"> ;</w:t>
      </w:r>
      <w:r>
        <w:rPr>
          <w:i/>
        </w:rPr>
        <w:t xml:space="preserve"> q</w:t>
      </w:r>
      <w:r>
        <w:rPr>
          <w:i/>
          <w:vertAlign w:val="subscript"/>
          <w:lang w:val="uk-UA"/>
        </w:rPr>
        <w:t>3</w:t>
      </w:r>
      <w:r>
        <w:t xml:space="preserve">). </w:t>
      </w:r>
      <w:r>
        <w:rPr>
          <w:lang w:val="uk-UA"/>
        </w:rPr>
        <w:t>Тоді:</w:t>
      </w:r>
    </w:p>
    <w:p w:rsidR="001D1F73" w:rsidRPr="001D1F73" w:rsidRDefault="001D1F73" w:rsidP="001D1F73">
      <w:pPr>
        <w:ind w:firstLine="709"/>
        <w:jc w:val="both"/>
        <w:rPr>
          <w:lang w:val="uk-UA"/>
        </w:rPr>
      </w:pPr>
      <m:oMathPara>
        <m:oMath>
          <m:sSubSup>
            <m:sSubSupPr>
              <m:ctrlPr>
                <w:rPr>
                  <w:rFonts w:ascii="Cambria Math" w:hAnsi="Cambria Math"/>
                  <w:i/>
                  <w:lang w:val="uk-UA"/>
                </w:rPr>
              </m:ctrlPr>
            </m:sSubSupPr>
            <m:e>
              <m:r>
                <w:rPr>
                  <w:rFonts w:ascii="Cambria Math" w:hAnsi="Cambria Math"/>
                  <w:lang w:val="uk-UA"/>
                </w:rPr>
                <m:t>Q</m:t>
              </m:r>
            </m:e>
            <m:sub>
              <m:r>
                <w:rPr>
                  <w:rFonts w:ascii="Cambria Math" w:hAnsi="Cambria Math"/>
                  <w:lang w:val="uk-UA"/>
                </w:rPr>
                <m:t>c</m:t>
              </m:r>
            </m:sub>
            <m:sup>
              <m:r>
                <w:rPr>
                  <w:rFonts w:ascii="Cambria Math" w:hAnsi="Cambria Math"/>
                  <w:lang w:val="uk-UA"/>
                </w:rPr>
                <m:t>3</m:t>
              </m:r>
            </m:sup>
          </m:sSubSup>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3</m:t>
              </m:r>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ci</m:t>
                  </m:r>
                </m:sub>
              </m:sSub>
            </m:e>
          </m:nary>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6</m:t>
              </m:r>
            </m:e>
          </m:d>
          <m:r>
            <w:rPr>
              <w:rFonts w:ascii="Cambria Math" w:hAnsi="Cambria Math"/>
              <w:lang w:val="uk-UA"/>
            </w:rPr>
            <m:t xml:space="preserve">  </m:t>
          </m:r>
        </m:oMath>
      </m:oMathPara>
    </w:p>
    <w:p w:rsidR="001D1F73" w:rsidRDefault="001D1F73" w:rsidP="001D1F73">
      <w:pPr>
        <w:ind w:firstLine="709"/>
        <w:jc w:val="both"/>
        <w:rPr>
          <w:lang w:val="uk-UA"/>
        </w:rPr>
      </w:pPr>
      <w:r>
        <w:rPr>
          <w:lang w:val="uk-UA"/>
        </w:rPr>
        <w:lastRenderedPageBreak/>
        <w:t xml:space="preserve">Додаткове дослідження ринку показало, що необхідно додати ще один критерій, для якого  </w:t>
      </w:r>
      <w:r>
        <w:rPr>
          <w:i/>
          <w:lang w:val="uk-UA"/>
        </w:rPr>
        <w:t>а</w:t>
      </w:r>
      <w:r>
        <w:rPr>
          <w:i/>
          <w:vertAlign w:val="subscript"/>
          <w:lang w:val="uk-UA"/>
        </w:rPr>
        <w:t>сі</w:t>
      </w:r>
      <w:r>
        <w:rPr>
          <w:i/>
          <w:vertAlign w:val="subscript"/>
        </w:rPr>
        <w:t xml:space="preserve"> </w:t>
      </w:r>
      <w:r>
        <w:rPr>
          <w:i/>
          <w:lang w:val="uk-UA"/>
        </w:rPr>
        <w:t xml:space="preserve"> = а</w:t>
      </w:r>
      <w:r>
        <w:rPr>
          <w:i/>
          <w:vertAlign w:val="subscript"/>
          <w:lang w:val="uk-UA"/>
        </w:rPr>
        <w:t>с4</w:t>
      </w:r>
      <w:r>
        <w:rPr>
          <w:i/>
          <w:vertAlign w:val="subscript"/>
        </w:rPr>
        <w:t xml:space="preserve"> </w:t>
      </w:r>
      <w:r>
        <w:rPr>
          <w:i/>
          <w:lang w:val="uk-UA"/>
        </w:rPr>
        <w:t>,</w:t>
      </w:r>
      <w:r>
        <w:rPr>
          <w:i/>
        </w:rPr>
        <w:t xml:space="preserve"> q</w:t>
      </w:r>
      <w:r>
        <w:rPr>
          <w:i/>
          <w:vertAlign w:val="subscript"/>
          <w:lang w:val="uk-UA"/>
        </w:rPr>
        <w:t>і</w:t>
      </w:r>
      <w:r>
        <w:t xml:space="preserve"> = </w:t>
      </w:r>
      <w:r>
        <w:rPr>
          <w:i/>
        </w:rPr>
        <w:t>q</w:t>
      </w:r>
      <w:r>
        <w:rPr>
          <w:i/>
          <w:vertAlign w:val="subscript"/>
          <w:lang w:val="uk-UA"/>
        </w:rPr>
        <w:t>4</w:t>
      </w:r>
      <w:r>
        <w:t xml:space="preserve">. </w:t>
      </w:r>
      <w:r>
        <w:rPr>
          <w:lang w:val="uk-UA"/>
        </w:rPr>
        <w:t>В результаті, якщо знехтувати рівністю (3), отримаємо:</w:t>
      </w:r>
    </w:p>
    <w:p w:rsidR="001D1F73" w:rsidRPr="001D1F73" w:rsidRDefault="001D1F73" w:rsidP="001D1F73">
      <w:pPr>
        <w:ind w:firstLine="709"/>
        <w:jc w:val="both"/>
        <w:rPr>
          <w:lang w:val="uk-UA"/>
        </w:rPr>
      </w:pPr>
      <m:oMathPara>
        <m:oMath>
          <m:sSubSup>
            <m:sSubSupPr>
              <m:ctrlPr>
                <w:rPr>
                  <w:rFonts w:ascii="Cambria Math" w:hAnsi="Cambria Math"/>
                  <w:i/>
                  <w:lang w:val="uk-UA"/>
                </w:rPr>
              </m:ctrlPr>
            </m:sSubSupPr>
            <m:e>
              <m:r>
                <w:rPr>
                  <w:rFonts w:ascii="Cambria Math" w:hAnsi="Cambria Math"/>
                  <w:lang w:val="uk-UA"/>
                </w:rPr>
                <m:t>Q</m:t>
              </m:r>
            </m:e>
            <m:sub>
              <m:r>
                <w:rPr>
                  <w:rFonts w:ascii="Cambria Math" w:hAnsi="Cambria Math"/>
                  <w:lang w:val="uk-UA"/>
                </w:rPr>
                <m:t>c</m:t>
              </m:r>
            </m:sub>
            <m:sup>
              <m:r>
                <w:rPr>
                  <w:rFonts w:ascii="Cambria Math" w:hAnsi="Cambria Math"/>
                  <w:lang w:val="uk-UA"/>
                </w:rPr>
                <m:t>4</m:t>
              </m:r>
            </m:sup>
          </m:sSubSup>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Q</m:t>
              </m:r>
            </m:e>
            <m:sub>
              <m:r>
                <w:rPr>
                  <w:rFonts w:ascii="Cambria Math" w:hAnsi="Cambria Math"/>
                  <w:lang w:val="uk-UA"/>
                </w:rPr>
                <m:t>c</m:t>
              </m:r>
            </m:sub>
            <m:sup>
              <m:r>
                <w:rPr>
                  <w:rFonts w:ascii="Cambria Math" w:hAnsi="Cambria Math"/>
                  <w:lang w:val="uk-UA"/>
                </w:rPr>
                <m:t>3</m:t>
              </m:r>
            </m:sup>
          </m:sSubSup>
          <m:r>
            <w:rPr>
              <w:rFonts w:ascii="Cambria Math" w:hAnsi="Cambria Math"/>
              <w:lang w:val="uk-UA"/>
            </w:rPr>
            <m:t>+</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4</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c4</m:t>
              </m:r>
            </m:sub>
          </m:sSub>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7</m:t>
              </m:r>
            </m:e>
          </m:d>
          <m:r>
            <w:rPr>
              <w:rFonts w:ascii="Cambria Math" w:hAnsi="Cambria Math"/>
              <w:lang w:val="uk-UA"/>
            </w:rPr>
            <m:t xml:space="preserve">  </m:t>
          </m:r>
        </m:oMath>
      </m:oMathPara>
    </w:p>
    <w:p w:rsidR="001D1F73" w:rsidRDefault="001D1F73" w:rsidP="001D1F73">
      <w:pPr>
        <w:ind w:firstLine="709"/>
        <w:jc w:val="both"/>
        <w:rPr>
          <w:lang w:val="uk-UA"/>
        </w:rPr>
      </w:pPr>
      <w:r>
        <w:rPr>
          <w:lang w:val="uk-UA"/>
        </w:rPr>
        <w:t xml:space="preserve">тобто вільний параметричний індекс конкурентоспроможності збільшиться навіть у випадку коли </w:t>
      </w:r>
      <w:r>
        <w:rPr>
          <w:i/>
        </w:rPr>
        <w:t>q</w:t>
      </w:r>
      <w:r>
        <w:rPr>
          <w:i/>
          <w:vertAlign w:val="subscript"/>
          <w:lang w:val="uk-UA"/>
        </w:rPr>
        <w:t xml:space="preserve">4  </w:t>
      </w:r>
      <w:r>
        <w:rPr>
          <w:lang w:val="uk-UA"/>
        </w:rPr>
        <w:t>&lt; 1, отже спостерігається перевага базисної моделі.</w:t>
      </w:r>
    </w:p>
    <w:p w:rsidR="001D1F73" w:rsidRDefault="001D1F73" w:rsidP="001D1F73">
      <w:pPr>
        <w:ind w:firstLine="709"/>
        <w:jc w:val="both"/>
        <w:rPr>
          <w:lang w:val="uk-UA"/>
        </w:rPr>
      </w:pPr>
      <w:r>
        <w:rPr>
          <w:b/>
          <w:lang w:val="uk-UA"/>
        </w:rPr>
        <w:t>На шостому етапі</w:t>
      </w:r>
      <w:r>
        <w:rPr>
          <w:lang w:val="uk-UA"/>
        </w:rPr>
        <w:t xml:space="preserve"> розраховується інтегральний показник конкурентоспроможності (</w:t>
      </w:r>
      <w:r>
        <w:rPr>
          <w:i/>
          <w:lang w:val="uk-UA"/>
        </w:rPr>
        <w:t>К</w:t>
      </w:r>
      <w:r>
        <w:rPr>
          <w:lang w:val="uk-UA"/>
        </w:rPr>
        <w:t>):</w:t>
      </w:r>
    </w:p>
    <w:p w:rsidR="001D1F73" w:rsidRPr="001D1F73" w:rsidRDefault="001D1F73" w:rsidP="001D1F73">
      <w:pPr>
        <w:ind w:firstLine="709"/>
        <w:jc w:val="both"/>
      </w:pPr>
      <m:oMathPara>
        <m:oMath>
          <m:r>
            <w:rPr>
              <w:rFonts w:ascii="Cambria Math" w:hAnsi="Cambria Math"/>
              <w:lang w:val="uk-UA"/>
            </w:rPr>
            <m:t>K=</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c</m:t>
                  </m:r>
                </m:sub>
              </m:sSub>
            </m:num>
            <m:den>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e</m:t>
                  </m:r>
                </m:sub>
              </m:sSub>
            </m:den>
          </m:f>
          <m:r>
            <w:rPr>
              <w:rFonts w:ascii="Cambria Math" w:hAnsi="Cambria Math"/>
              <w:lang w:val="uk-UA"/>
            </w:rPr>
            <m:t xml:space="preserve">       (8)</m:t>
          </m:r>
        </m:oMath>
      </m:oMathPara>
    </w:p>
    <w:p w:rsidR="001D1F73" w:rsidRDefault="001D1F73" w:rsidP="001D1F73">
      <w:pPr>
        <w:ind w:firstLine="709"/>
        <w:jc w:val="both"/>
        <w:rPr>
          <w:lang w:val="uk-UA"/>
        </w:rPr>
      </w:pPr>
      <w:r w:rsidRPr="00247DEB">
        <w:rPr>
          <w:lang w:val="uk-UA"/>
        </w:rPr>
        <w:t>Економічний зміст інтегрального показника конкурентоспроможності закл</w:t>
      </w:r>
      <w:r>
        <w:rPr>
          <w:lang w:val="uk-UA"/>
        </w:rPr>
        <w:t>ю</w:t>
      </w:r>
      <w:r w:rsidRPr="00247DEB">
        <w:rPr>
          <w:lang w:val="uk-UA"/>
        </w:rPr>
        <w:t xml:space="preserve">чається в тому, що на одиницю затрат споживач отримує К одиниць корисного ефекту. </w:t>
      </w:r>
      <w:r>
        <w:rPr>
          <w:lang w:val="uk-UA"/>
        </w:rPr>
        <w:t xml:space="preserve">Якщо </w:t>
      </w:r>
      <w:r>
        <w:rPr>
          <w:i/>
          <w:lang w:val="uk-UA"/>
        </w:rPr>
        <w:t>К</w:t>
      </w:r>
      <w:r>
        <w:rPr>
          <w:i/>
          <w:vertAlign w:val="subscript"/>
          <w:lang w:val="uk-UA"/>
        </w:rPr>
        <w:t xml:space="preserve"> </w:t>
      </w:r>
      <w:r>
        <w:t>&gt;</w:t>
      </w:r>
      <w:r>
        <w:rPr>
          <w:lang w:val="uk-UA"/>
        </w:rPr>
        <w:t>1,  то рівень якості</w:t>
      </w:r>
      <w:r>
        <w:t xml:space="preserve"> </w:t>
      </w:r>
      <w:r>
        <w:rPr>
          <w:lang w:val="uk-UA"/>
        </w:rPr>
        <w:t xml:space="preserve">вище рівня затрат і товар є конкурентоспроможним, якщо </w:t>
      </w:r>
      <w:r>
        <w:rPr>
          <w:i/>
          <w:lang w:val="uk-UA"/>
        </w:rPr>
        <w:t>К</w:t>
      </w:r>
      <w:r>
        <w:t>&lt;</w:t>
      </w:r>
      <w:r>
        <w:rPr>
          <w:lang w:val="uk-UA"/>
        </w:rPr>
        <w:t>1</w:t>
      </w:r>
      <w:r>
        <w:t xml:space="preserve"> – не</w:t>
      </w:r>
      <w:r>
        <w:rPr>
          <w:lang w:val="uk-UA"/>
        </w:rPr>
        <w:t>конкурентоспроможним на даному ринку.</w:t>
      </w:r>
    </w:p>
    <w:p w:rsidR="001D1F73" w:rsidRDefault="001D1F73" w:rsidP="001D1F73">
      <w:pPr>
        <w:ind w:firstLine="709"/>
        <w:jc w:val="both"/>
        <w:rPr>
          <w:lang w:val="uk-UA"/>
        </w:rPr>
      </w:pPr>
      <w:r>
        <w:rPr>
          <w:lang w:val="uk-UA"/>
        </w:rPr>
        <w:t>Даний метод має ряд недоліків:</w:t>
      </w:r>
    </w:p>
    <w:p w:rsidR="001D1F73" w:rsidRDefault="001D1F73" w:rsidP="001D1F73">
      <w:pPr>
        <w:pStyle w:val="a5"/>
        <w:numPr>
          <w:ilvl w:val="0"/>
          <w:numId w:val="3"/>
        </w:numPr>
        <w:tabs>
          <w:tab w:val="left" w:pos="1080"/>
        </w:tabs>
        <w:ind w:left="0" w:firstLine="709"/>
        <w:rPr>
          <w:lang w:val="uk-UA"/>
        </w:rPr>
      </w:pPr>
      <w:r>
        <w:rPr>
          <w:lang w:val="uk-UA"/>
        </w:rPr>
        <w:t>у всіх випадках припускається лінійна залежність конкурентоспроможності від значення критерію, тобто по всім параметрам еластичність попиту дорівнює 1;</w:t>
      </w:r>
    </w:p>
    <w:p w:rsidR="001D1F73" w:rsidRDefault="001D1F73" w:rsidP="001D1F73">
      <w:pPr>
        <w:pStyle w:val="a5"/>
        <w:numPr>
          <w:ilvl w:val="0"/>
          <w:numId w:val="3"/>
        </w:numPr>
        <w:tabs>
          <w:tab w:val="left" w:pos="1080"/>
        </w:tabs>
        <w:ind w:left="0" w:firstLine="709"/>
        <w:rPr>
          <w:lang w:val="uk-UA"/>
        </w:rPr>
      </w:pPr>
      <w:r>
        <w:rPr>
          <w:lang w:val="uk-UA"/>
        </w:rPr>
        <w:t>не враховується те, що для деяких критеріїв існують обмеження, об’єктивні або суб’єктивні, при порушенні яких конкурентоспроможність товару наближається до нуля;</w:t>
      </w:r>
    </w:p>
    <w:p w:rsidR="001D1F73" w:rsidRDefault="001D1F73" w:rsidP="001D1F73">
      <w:pPr>
        <w:pStyle w:val="a5"/>
        <w:numPr>
          <w:ilvl w:val="0"/>
          <w:numId w:val="3"/>
        </w:numPr>
        <w:tabs>
          <w:tab w:val="left" w:pos="1080"/>
        </w:tabs>
        <w:ind w:left="0" w:firstLine="709"/>
        <w:rPr>
          <w:lang w:val="uk-UA"/>
        </w:rPr>
      </w:pPr>
      <w:r>
        <w:rPr>
          <w:lang w:val="uk-UA"/>
        </w:rPr>
        <w:t>при порівнянні кількох товарів необхідно проводити розрахунок для кожної пари окремо;</w:t>
      </w:r>
    </w:p>
    <w:p w:rsidR="001D1F73" w:rsidRDefault="001D1F73" w:rsidP="001D1F73">
      <w:pPr>
        <w:pStyle w:val="a5"/>
        <w:numPr>
          <w:ilvl w:val="0"/>
          <w:numId w:val="3"/>
        </w:numPr>
        <w:tabs>
          <w:tab w:val="left" w:pos="1080"/>
        </w:tabs>
        <w:ind w:left="0" w:firstLine="709"/>
        <w:rPr>
          <w:lang w:val="uk-UA"/>
        </w:rPr>
      </w:pPr>
      <w:r>
        <w:rPr>
          <w:lang w:val="uk-UA"/>
        </w:rPr>
        <w:t xml:space="preserve">важко встановлювати вагові значення </w:t>
      </w:r>
      <w:r>
        <w:rPr>
          <w:i/>
          <w:lang w:val="uk-UA"/>
        </w:rPr>
        <w:t>а</w:t>
      </w:r>
      <w:r>
        <w:rPr>
          <w:i/>
          <w:vertAlign w:val="subscript"/>
          <w:lang w:val="uk-UA"/>
        </w:rPr>
        <w:t>і</w:t>
      </w:r>
      <w:r>
        <w:rPr>
          <w:i/>
          <w:vertAlign w:val="subscript"/>
        </w:rPr>
        <w:t>j</w:t>
      </w:r>
      <w:r>
        <w:rPr>
          <w:lang w:val="uk-UA"/>
        </w:rPr>
        <w:t>, особливо для великої кількості критеріїв;</w:t>
      </w:r>
    </w:p>
    <w:p w:rsidR="001D1F73" w:rsidRDefault="001D1F73" w:rsidP="001D1F73">
      <w:pPr>
        <w:pStyle w:val="a5"/>
        <w:numPr>
          <w:ilvl w:val="0"/>
          <w:numId w:val="3"/>
        </w:numPr>
        <w:tabs>
          <w:tab w:val="left" w:pos="1080"/>
        </w:tabs>
        <w:ind w:left="0" w:firstLine="709"/>
        <w:rPr>
          <w:lang w:val="uk-UA"/>
        </w:rPr>
      </w:pPr>
      <w:r>
        <w:rPr>
          <w:lang w:val="uk-UA"/>
        </w:rPr>
        <w:t>неможливо оцінити степінь впливу на конкурентоспроможність товару факторів, що не піддаються кількісній оцінці;</w:t>
      </w:r>
    </w:p>
    <w:p w:rsidR="001D1F73" w:rsidRDefault="001D1F73" w:rsidP="001D1F73">
      <w:pPr>
        <w:pStyle w:val="a5"/>
        <w:numPr>
          <w:ilvl w:val="0"/>
          <w:numId w:val="3"/>
        </w:numPr>
        <w:tabs>
          <w:tab w:val="left" w:pos="1080"/>
        </w:tabs>
        <w:ind w:left="0" w:firstLine="709"/>
        <w:rPr>
          <w:lang w:val="uk-UA"/>
        </w:rPr>
      </w:pPr>
      <w:r>
        <w:rPr>
          <w:lang w:val="uk-UA"/>
        </w:rPr>
        <w:t>даним методом розраховується конкурентоспроможність одного об’єкту відносно іншого, а не рівень конкурентоспроможності об’єкта взагалі;</w:t>
      </w:r>
    </w:p>
    <w:p w:rsidR="001D1F73" w:rsidRDefault="001D1F73" w:rsidP="001D1F73">
      <w:pPr>
        <w:pStyle w:val="a5"/>
        <w:numPr>
          <w:ilvl w:val="0"/>
          <w:numId w:val="3"/>
        </w:numPr>
        <w:tabs>
          <w:tab w:val="left" w:pos="1080"/>
        </w:tabs>
        <w:ind w:left="0" w:firstLine="709"/>
        <w:rPr>
          <w:lang w:val="uk-UA"/>
        </w:rPr>
      </w:pPr>
      <w:r>
        <w:rPr>
          <w:lang w:val="uk-UA"/>
        </w:rPr>
        <w:t>існує певна складність вибору бази порівняння, особливо в тих випадках, коли в якості отакої необхідно прийняти найкращий із існуючих зразків. Виникає питання: як визначити, який товар є кращим? Тому або необхідно попередньо порівнювати зразки між собою, або має місце інтуїтивний вибір. Можна брати в якості порівняння лідера продажу, але ця інформація часто закрита, суб’єктивна та важко збиральна, особливо коли іде річ про товари широкого вжитку, що розповсюджуються по багатьом каналам збуту, які мають декілька рівнів.</w:t>
      </w:r>
    </w:p>
    <w:p w:rsidR="001D1F73" w:rsidRDefault="001D1F73" w:rsidP="001D1F73">
      <w:pPr>
        <w:ind w:firstLine="709"/>
        <w:jc w:val="both"/>
        <w:rPr>
          <w:lang w:val="uk-UA"/>
        </w:rPr>
      </w:pPr>
      <w:r>
        <w:rPr>
          <w:lang w:val="uk-UA"/>
        </w:rPr>
        <w:t>Власне, вказані недоліки являються і обмеженнями використання традиційного методу конкурентоспроможності товару.</w:t>
      </w:r>
    </w:p>
    <w:p w:rsidR="001D1F73" w:rsidRDefault="001D1F73" w:rsidP="001D1F73">
      <w:pPr>
        <w:ind w:firstLine="709"/>
        <w:jc w:val="both"/>
        <w:rPr>
          <w:lang w:val="uk-UA"/>
        </w:rPr>
      </w:pPr>
      <w:r>
        <w:rPr>
          <w:lang w:val="en-US"/>
        </w:rPr>
        <w:t>SWOT</w:t>
      </w:r>
      <w:r>
        <w:rPr>
          <w:lang w:val="uk-UA"/>
        </w:rPr>
        <w:t xml:space="preserve"> – аналіз</w:t>
      </w:r>
    </w:p>
    <w:p w:rsidR="001D1F73" w:rsidRDefault="001D1F73" w:rsidP="001D1F73">
      <w:pPr>
        <w:ind w:firstLine="709"/>
        <w:jc w:val="both"/>
        <w:rPr>
          <w:lang w:val="uk-UA"/>
        </w:rPr>
      </w:pPr>
      <w:r>
        <w:rPr>
          <w:lang w:val="uk-UA"/>
        </w:rPr>
        <w:t>Сильні сторони підприємства:</w:t>
      </w:r>
    </w:p>
    <w:p w:rsidR="001D1F73" w:rsidRDefault="001D1F73" w:rsidP="001D1F73">
      <w:pPr>
        <w:numPr>
          <w:ilvl w:val="0"/>
          <w:numId w:val="2"/>
        </w:numPr>
        <w:tabs>
          <w:tab w:val="left" w:pos="1080"/>
        </w:tabs>
        <w:ind w:left="0" w:firstLine="709"/>
        <w:jc w:val="both"/>
        <w:rPr>
          <w:lang w:val="uk-UA"/>
        </w:rPr>
      </w:pPr>
      <w:r>
        <w:rPr>
          <w:lang w:val="uk-UA"/>
        </w:rPr>
        <w:t xml:space="preserve">високий рівень якості продукції; </w:t>
      </w:r>
    </w:p>
    <w:p w:rsidR="001D1F73" w:rsidRDefault="001D1F73" w:rsidP="001D1F73">
      <w:pPr>
        <w:numPr>
          <w:ilvl w:val="0"/>
          <w:numId w:val="2"/>
        </w:numPr>
        <w:tabs>
          <w:tab w:val="left" w:pos="1080"/>
        </w:tabs>
        <w:ind w:left="0" w:firstLine="709"/>
        <w:jc w:val="both"/>
        <w:rPr>
          <w:lang w:val="uk-UA"/>
        </w:rPr>
      </w:pPr>
      <w:r>
        <w:rPr>
          <w:lang w:val="uk-UA"/>
        </w:rPr>
        <w:t>можливість збільшення об</w:t>
      </w:r>
      <w:r>
        <w:rPr>
          <w:lang w:val="en-US"/>
        </w:rPr>
        <w:t>’</w:t>
      </w:r>
      <w:r>
        <w:rPr>
          <w:lang w:val="uk-UA"/>
        </w:rPr>
        <w:t>ємів продукції.</w:t>
      </w:r>
    </w:p>
    <w:p w:rsidR="001D1F73" w:rsidRDefault="001D1F73" w:rsidP="001D1F73">
      <w:pPr>
        <w:ind w:firstLine="709"/>
        <w:jc w:val="both"/>
        <w:rPr>
          <w:lang w:val="uk-UA"/>
        </w:rPr>
      </w:pPr>
      <w:r>
        <w:rPr>
          <w:lang w:val="uk-UA"/>
        </w:rPr>
        <w:t>Слабкі сторони підприємства:</w:t>
      </w:r>
    </w:p>
    <w:p w:rsidR="001D1F73" w:rsidRDefault="001D1F73" w:rsidP="001D1F73">
      <w:pPr>
        <w:numPr>
          <w:ilvl w:val="0"/>
          <w:numId w:val="2"/>
        </w:numPr>
        <w:tabs>
          <w:tab w:val="left" w:pos="1080"/>
        </w:tabs>
        <w:ind w:left="0" w:firstLine="709"/>
        <w:jc w:val="both"/>
        <w:rPr>
          <w:lang w:val="uk-UA"/>
        </w:rPr>
      </w:pPr>
      <w:r>
        <w:rPr>
          <w:lang w:val="uk-UA"/>
        </w:rPr>
        <w:t>велика енергомісткість виробництва;</w:t>
      </w:r>
    </w:p>
    <w:p w:rsidR="001D1F73" w:rsidRDefault="001D1F73" w:rsidP="001D1F73">
      <w:pPr>
        <w:numPr>
          <w:ilvl w:val="0"/>
          <w:numId w:val="2"/>
        </w:numPr>
        <w:tabs>
          <w:tab w:val="left" w:pos="1080"/>
        </w:tabs>
        <w:ind w:left="0" w:firstLine="709"/>
        <w:jc w:val="both"/>
        <w:rPr>
          <w:lang w:val="uk-UA"/>
        </w:rPr>
      </w:pPr>
      <w:r>
        <w:rPr>
          <w:lang w:val="uk-UA"/>
        </w:rPr>
        <w:t>швидке старіння обладнання (зменшується продуктивність).</w:t>
      </w:r>
    </w:p>
    <w:p w:rsidR="001D1F73" w:rsidRDefault="001D1F73" w:rsidP="001D1F73">
      <w:pPr>
        <w:ind w:firstLine="709"/>
        <w:jc w:val="both"/>
        <w:rPr>
          <w:lang w:val="uk-UA"/>
        </w:rPr>
      </w:pPr>
      <w:r>
        <w:rPr>
          <w:lang w:val="uk-UA"/>
        </w:rPr>
        <w:t xml:space="preserve">Можливості і загрози, пов’язані з зовнішнім середовищем. </w:t>
      </w:r>
    </w:p>
    <w:p w:rsidR="001D1F73" w:rsidRDefault="001D1F73" w:rsidP="001D1F73">
      <w:pPr>
        <w:ind w:firstLine="709"/>
        <w:jc w:val="both"/>
        <w:rPr>
          <w:lang w:val="uk-UA"/>
        </w:rPr>
      </w:pPr>
      <w:r>
        <w:rPr>
          <w:lang w:val="uk-UA"/>
        </w:rPr>
        <w:t>Це поява нових ринків збуту, зміни в політиці і зміна законодавчої влади.</w:t>
      </w:r>
    </w:p>
    <w:p w:rsidR="001D1F73" w:rsidRDefault="001D1F73" w:rsidP="001D1F73">
      <w:pPr>
        <w:ind w:firstLine="709"/>
        <w:jc w:val="both"/>
        <w:rPr>
          <w:lang w:val="uk-UA"/>
        </w:rPr>
      </w:pPr>
      <w:r>
        <w:rPr>
          <w:lang w:val="uk-UA"/>
        </w:rPr>
        <w:t>Для діагностування конкурентоспроможності підприємства доцільно використовувати концепцію бенчмаркетингу. Це метод, за яким порівнюються характеристики певного підприємства з еталонним кращим об</w:t>
      </w:r>
      <w:r>
        <w:t>’</w:t>
      </w:r>
      <w:r>
        <w:rPr>
          <w:lang w:val="uk-UA"/>
        </w:rPr>
        <w:t>єктом. Можна порівнювати за кількісними параметрами (якість продукції, рівень продуктивності праці, обсяг продажу, частка ринку і інші), а також за якісними показниками (якість управління, ділова репутація, імідж і інше).</w:t>
      </w:r>
    </w:p>
    <w:p w:rsidR="001D1F73" w:rsidRDefault="001D1F73" w:rsidP="001D1F73">
      <w:pPr>
        <w:ind w:firstLine="709"/>
        <w:jc w:val="both"/>
        <w:rPr>
          <w:lang w:val="uk-UA"/>
        </w:rPr>
      </w:pPr>
      <w:r>
        <w:rPr>
          <w:lang w:val="uk-UA"/>
        </w:rPr>
        <w:t>Вибір бази для порівняння (вибір підприємства-аналога або підприємства ідеального (найкращі всі рівні показників)).</w:t>
      </w:r>
    </w:p>
    <w:p w:rsidR="001D1F73" w:rsidRDefault="001D1F73" w:rsidP="001D1F73">
      <w:pPr>
        <w:ind w:firstLine="709"/>
        <w:jc w:val="both"/>
        <w:rPr>
          <w:lang w:val="uk-UA"/>
        </w:rPr>
      </w:pPr>
      <w:r>
        <w:rPr>
          <w:lang w:val="uk-UA"/>
        </w:rPr>
        <w:lastRenderedPageBreak/>
        <w:t>Для того, щоб виконувати порівняння, треба виділити 5-10 основних показників. Попередньо треба провести експертне оцінювання важливості кожного показника. Визначити рейтингові позиції кожного конкурентного підприємства. Обчислити зважені рейтингові оцінки з урахуванням важливості показників аналогічно розрахункам вище приведеним.</w:t>
      </w:r>
    </w:p>
    <w:p w:rsidR="001D1F73" w:rsidRDefault="001D1F73" w:rsidP="001D1F73">
      <w:pPr>
        <w:ind w:firstLine="709"/>
        <w:jc w:val="both"/>
        <w:rPr>
          <w:lang w:val="uk-UA"/>
        </w:rPr>
      </w:pPr>
      <w:r>
        <w:rPr>
          <w:lang w:val="uk-UA"/>
        </w:rPr>
        <w:t>Підприємство, по якому значення буде більше, буде мати більш високий рівень конкурентоспроможності.</w:t>
      </w:r>
    </w:p>
    <w:p w:rsidR="001D1F73" w:rsidRDefault="001D1F73" w:rsidP="001D1F73">
      <w:pPr>
        <w:spacing w:after="120"/>
        <w:ind w:firstLine="709"/>
        <w:jc w:val="both"/>
        <w:rPr>
          <w:lang w:val="uk-UA"/>
        </w:rPr>
      </w:pPr>
      <w:r>
        <w:rPr>
          <w:lang w:val="uk-UA"/>
        </w:rPr>
        <w:t>Таблиця. Зважена рейтингова оцінка підприємств галузі.</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1192"/>
        <w:gridCol w:w="1272"/>
        <w:gridCol w:w="1260"/>
        <w:gridCol w:w="1074"/>
        <w:gridCol w:w="1131"/>
        <w:gridCol w:w="1035"/>
        <w:gridCol w:w="1080"/>
      </w:tblGrid>
      <w:tr w:rsidR="001D1F73" w:rsidRPr="008D4F74" w:rsidTr="00BF0381">
        <w:trPr>
          <w:cantSplit/>
        </w:trPr>
        <w:tc>
          <w:tcPr>
            <w:tcW w:w="1784" w:type="dxa"/>
            <w:vMerge w:val="restart"/>
          </w:tcPr>
          <w:p w:rsidR="001D1F73" w:rsidRPr="008D4F74" w:rsidRDefault="001D1F73" w:rsidP="00BF0381">
            <w:pPr>
              <w:jc w:val="center"/>
              <w:rPr>
                <w:sz w:val="22"/>
                <w:szCs w:val="22"/>
                <w:lang w:val="uk-UA"/>
              </w:rPr>
            </w:pPr>
            <w:r w:rsidRPr="008D4F74">
              <w:rPr>
                <w:sz w:val="22"/>
                <w:szCs w:val="22"/>
                <w:lang w:val="uk-UA"/>
              </w:rPr>
              <w:t>Характеристика (показники – і)</w:t>
            </w:r>
          </w:p>
        </w:tc>
        <w:tc>
          <w:tcPr>
            <w:tcW w:w="1192" w:type="dxa"/>
            <w:vMerge w:val="restart"/>
          </w:tcPr>
          <w:p w:rsidR="001D1F73" w:rsidRPr="008D4F74" w:rsidRDefault="001D1F73" w:rsidP="00BF0381">
            <w:pPr>
              <w:jc w:val="center"/>
              <w:rPr>
                <w:sz w:val="22"/>
                <w:szCs w:val="22"/>
                <w:lang w:val="uk-UA"/>
              </w:rPr>
            </w:pPr>
            <w:r w:rsidRPr="008D4F74">
              <w:rPr>
                <w:sz w:val="22"/>
                <w:szCs w:val="22"/>
                <w:lang w:val="uk-UA"/>
              </w:rPr>
              <w:t>Вагомість</w:t>
            </w:r>
          </w:p>
          <w:p w:rsidR="001D1F73" w:rsidRPr="008D4F74" w:rsidRDefault="001D1F73" w:rsidP="00BF0381">
            <w:pPr>
              <w:jc w:val="center"/>
              <w:rPr>
                <w:sz w:val="22"/>
                <w:szCs w:val="22"/>
                <w:lang w:val="uk-UA"/>
              </w:rPr>
            </w:pPr>
            <w:r w:rsidRPr="008D4F74">
              <w:rPr>
                <w:position w:val="-14"/>
                <w:sz w:val="22"/>
                <w:szCs w:val="22"/>
              </w:rPr>
              <w:object w:dxaOrig="380" w:dyaOrig="380">
                <v:shape id="_x0000_i1037" type="#_x0000_t75" style="width:18.75pt;height:18.75pt" o:ole="">
                  <v:imagedata r:id="rId18" o:title=""/>
                </v:shape>
                <o:OLEObject Type="Embed" ProgID="Equation.DSMT4" ShapeID="_x0000_i1037" DrawAspect="Content" ObjectID="_1425822169" r:id="rId29"/>
              </w:object>
            </w:r>
            <w:r w:rsidRPr="008D4F74">
              <w:rPr>
                <w:sz w:val="22"/>
                <w:szCs w:val="22"/>
                <w:lang w:val="uk-UA"/>
              </w:rPr>
              <w:t xml:space="preserve"> </w:t>
            </w:r>
          </w:p>
        </w:tc>
        <w:tc>
          <w:tcPr>
            <w:tcW w:w="6852" w:type="dxa"/>
            <w:gridSpan w:val="6"/>
          </w:tcPr>
          <w:p w:rsidR="001D1F73" w:rsidRPr="008D4F74" w:rsidRDefault="001D1F73" w:rsidP="00BF0381">
            <w:pPr>
              <w:jc w:val="center"/>
              <w:rPr>
                <w:sz w:val="22"/>
                <w:szCs w:val="22"/>
                <w:lang w:val="uk-UA"/>
              </w:rPr>
            </w:pPr>
            <w:r w:rsidRPr="008D4F74">
              <w:rPr>
                <w:sz w:val="22"/>
                <w:szCs w:val="22"/>
                <w:lang w:val="uk-UA"/>
              </w:rPr>
              <w:t>Підприємства</w:t>
            </w:r>
          </w:p>
        </w:tc>
      </w:tr>
      <w:tr w:rsidR="001D1F73" w:rsidRPr="008D4F74" w:rsidTr="00BF0381">
        <w:trPr>
          <w:cantSplit/>
        </w:trPr>
        <w:tc>
          <w:tcPr>
            <w:tcW w:w="1784" w:type="dxa"/>
            <w:vMerge/>
          </w:tcPr>
          <w:p w:rsidR="001D1F73" w:rsidRPr="008D4F74" w:rsidRDefault="001D1F73" w:rsidP="00BF0381">
            <w:pPr>
              <w:jc w:val="center"/>
              <w:rPr>
                <w:sz w:val="22"/>
                <w:szCs w:val="22"/>
                <w:lang w:val="uk-UA"/>
              </w:rPr>
            </w:pPr>
          </w:p>
        </w:tc>
        <w:tc>
          <w:tcPr>
            <w:tcW w:w="1192" w:type="dxa"/>
            <w:vMerge/>
          </w:tcPr>
          <w:p w:rsidR="001D1F73" w:rsidRPr="008D4F74" w:rsidRDefault="001D1F73" w:rsidP="00BF0381">
            <w:pPr>
              <w:jc w:val="center"/>
              <w:rPr>
                <w:sz w:val="22"/>
                <w:szCs w:val="22"/>
                <w:lang w:val="uk-UA"/>
              </w:rPr>
            </w:pPr>
          </w:p>
        </w:tc>
        <w:tc>
          <w:tcPr>
            <w:tcW w:w="2532" w:type="dxa"/>
            <w:gridSpan w:val="2"/>
          </w:tcPr>
          <w:p w:rsidR="001D1F73" w:rsidRPr="008D4F74" w:rsidRDefault="001D1F73" w:rsidP="00BF0381">
            <w:pPr>
              <w:jc w:val="center"/>
              <w:rPr>
                <w:sz w:val="22"/>
                <w:szCs w:val="22"/>
                <w:lang w:val="uk-UA"/>
              </w:rPr>
            </w:pPr>
            <w:r w:rsidRPr="008D4F74">
              <w:rPr>
                <w:sz w:val="22"/>
                <w:szCs w:val="22"/>
                <w:lang w:val="uk-UA"/>
              </w:rPr>
              <w:t>1</w:t>
            </w:r>
          </w:p>
        </w:tc>
        <w:tc>
          <w:tcPr>
            <w:tcW w:w="2205" w:type="dxa"/>
            <w:gridSpan w:val="2"/>
          </w:tcPr>
          <w:p w:rsidR="001D1F73" w:rsidRPr="008D4F74" w:rsidRDefault="001D1F73" w:rsidP="00BF0381">
            <w:pPr>
              <w:jc w:val="center"/>
              <w:rPr>
                <w:sz w:val="22"/>
                <w:szCs w:val="22"/>
                <w:lang w:val="uk-UA"/>
              </w:rPr>
            </w:pPr>
            <w:r w:rsidRPr="008D4F74">
              <w:rPr>
                <w:sz w:val="22"/>
                <w:szCs w:val="22"/>
                <w:lang w:val="uk-UA"/>
              </w:rPr>
              <w:t>2</w:t>
            </w:r>
          </w:p>
        </w:tc>
        <w:tc>
          <w:tcPr>
            <w:tcW w:w="2115" w:type="dxa"/>
            <w:gridSpan w:val="2"/>
          </w:tcPr>
          <w:p w:rsidR="001D1F73" w:rsidRPr="008D4F74" w:rsidRDefault="001D1F73" w:rsidP="00BF0381">
            <w:pPr>
              <w:jc w:val="center"/>
              <w:rPr>
                <w:sz w:val="22"/>
                <w:szCs w:val="22"/>
                <w:lang w:val="uk-UA"/>
              </w:rPr>
            </w:pPr>
            <w:r w:rsidRPr="008D4F74">
              <w:rPr>
                <w:sz w:val="22"/>
                <w:szCs w:val="22"/>
                <w:lang w:val="uk-UA"/>
              </w:rPr>
              <w:t>3</w:t>
            </w:r>
          </w:p>
        </w:tc>
      </w:tr>
      <w:tr w:rsidR="001D1F73" w:rsidRPr="008D4F74" w:rsidTr="00BF0381">
        <w:trPr>
          <w:cantSplit/>
        </w:trPr>
        <w:tc>
          <w:tcPr>
            <w:tcW w:w="1784" w:type="dxa"/>
            <w:vMerge/>
          </w:tcPr>
          <w:p w:rsidR="001D1F73" w:rsidRPr="008D4F74" w:rsidRDefault="001D1F73" w:rsidP="00BF0381">
            <w:pPr>
              <w:jc w:val="center"/>
              <w:rPr>
                <w:sz w:val="22"/>
                <w:szCs w:val="22"/>
                <w:lang w:val="uk-UA"/>
              </w:rPr>
            </w:pPr>
          </w:p>
        </w:tc>
        <w:tc>
          <w:tcPr>
            <w:tcW w:w="1192" w:type="dxa"/>
            <w:vMerge/>
          </w:tcPr>
          <w:p w:rsidR="001D1F73" w:rsidRPr="008D4F74" w:rsidRDefault="001D1F73" w:rsidP="00BF0381">
            <w:pPr>
              <w:jc w:val="center"/>
              <w:rPr>
                <w:sz w:val="22"/>
                <w:szCs w:val="22"/>
                <w:lang w:val="uk-UA"/>
              </w:rPr>
            </w:pPr>
          </w:p>
        </w:tc>
        <w:tc>
          <w:tcPr>
            <w:tcW w:w="1272" w:type="dxa"/>
          </w:tcPr>
          <w:p w:rsidR="001D1F73" w:rsidRPr="008D4F74" w:rsidRDefault="001D1F73" w:rsidP="00BF0381">
            <w:pPr>
              <w:jc w:val="center"/>
              <w:rPr>
                <w:sz w:val="20"/>
                <w:szCs w:val="20"/>
                <w:lang w:val="uk-UA"/>
              </w:rPr>
            </w:pPr>
            <w:r w:rsidRPr="008D4F74">
              <w:rPr>
                <w:sz w:val="20"/>
                <w:szCs w:val="20"/>
                <w:lang w:val="uk-UA"/>
              </w:rPr>
              <w:t>рейтинг</w:t>
            </w:r>
          </w:p>
        </w:tc>
        <w:tc>
          <w:tcPr>
            <w:tcW w:w="1260" w:type="dxa"/>
          </w:tcPr>
          <w:p w:rsidR="001D1F73" w:rsidRPr="008D4F74" w:rsidRDefault="001D1F73" w:rsidP="00BF0381">
            <w:pPr>
              <w:jc w:val="center"/>
              <w:rPr>
                <w:sz w:val="20"/>
                <w:szCs w:val="20"/>
                <w:lang w:val="uk-UA"/>
              </w:rPr>
            </w:pPr>
            <w:r w:rsidRPr="008D4F74">
              <w:rPr>
                <w:sz w:val="20"/>
                <w:szCs w:val="20"/>
                <w:lang w:val="uk-UA"/>
              </w:rPr>
              <w:t>Зважений рейтинг</w:t>
            </w:r>
          </w:p>
        </w:tc>
        <w:tc>
          <w:tcPr>
            <w:tcW w:w="1074" w:type="dxa"/>
          </w:tcPr>
          <w:p w:rsidR="001D1F73" w:rsidRPr="008D4F74" w:rsidRDefault="001D1F73" w:rsidP="00BF0381">
            <w:pPr>
              <w:jc w:val="center"/>
              <w:rPr>
                <w:sz w:val="20"/>
                <w:szCs w:val="20"/>
                <w:lang w:val="uk-UA"/>
              </w:rPr>
            </w:pPr>
            <w:r w:rsidRPr="008D4F74">
              <w:rPr>
                <w:sz w:val="20"/>
                <w:szCs w:val="20"/>
                <w:lang w:val="uk-UA"/>
              </w:rPr>
              <w:t>рейтинг</w:t>
            </w:r>
          </w:p>
        </w:tc>
        <w:tc>
          <w:tcPr>
            <w:tcW w:w="1131" w:type="dxa"/>
          </w:tcPr>
          <w:p w:rsidR="001D1F73" w:rsidRPr="008D4F74" w:rsidRDefault="001D1F73" w:rsidP="00BF0381">
            <w:pPr>
              <w:jc w:val="center"/>
              <w:rPr>
                <w:sz w:val="20"/>
                <w:szCs w:val="20"/>
                <w:lang w:val="uk-UA"/>
              </w:rPr>
            </w:pPr>
            <w:r w:rsidRPr="008D4F74">
              <w:rPr>
                <w:sz w:val="20"/>
                <w:szCs w:val="20"/>
                <w:lang w:val="uk-UA"/>
              </w:rPr>
              <w:t>Зважений рейтинг</w:t>
            </w:r>
          </w:p>
        </w:tc>
        <w:tc>
          <w:tcPr>
            <w:tcW w:w="1035" w:type="dxa"/>
          </w:tcPr>
          <w:p w:rsidR="001D1F73" w:rsidRPr="008D4F74" w:rsidRDefault="001D1F73" w:rsidP="00BF0381">
            <w:pPr>
              <w:jc w:val="center"/>
              <w:rPr>
                <w:sz w:val="20"/>
                <w:szCs w:val="20"/>
                <w:lang w:val="uk-UA"/>
              </w:rPr>
            </w:pPr>
            <w:r w:rsidRPr="008D4F74">
              <w:rPr>
                <w:sz w:val="20"/>
                <w:szCs w:val="20"/>
                <w:lang w:val="uk-UA"/>
              </w:rPr>
              <w:t>рейтинг</w:t>
            </w:r>
          </w:p>
        </w:tc>
        <w:tc>
          <w:tcPr>
            <w:tcW w:w="1080" w:type="dxa"/>
          </w:tcPr>
          <w:p w:rsidR="001D1F73" w:rsidRPr="008D4F74" w:rsidRDefault="001D1F73" w:rsidP="00BF0381">
            <w:pPr>
              <w:jc w:val="center"/>
              <w:rPr>
                <w:sz w:val="20"/>
                <w:szCs w:val="20"/>
                <w:lang w:val="uk-UA"/>
              </w:rPr>
            </w:pPr>
            <w:r w:rsidRPr="008D4F74">
              <w:rPr>
                <w:sz w:val="20"/>
                <w:szCs w:val="20"/>
                <w:lang w:val="uk-UA"/>
              </w:rPr>
              <w:t>Зважений рейтинг</w:t>
            </w:r>
          </w:p>
        </w:tc>
      </w:tr>
      <w:tr w:rsidR="001D1F73" w:rsidRPr="008D4F74" w:rsidTr="00BF0381">
        <w:tc>
          <w:tcPr>
            <w:tcW w:w="1784" w:type="dxa"/>
          </w:tcPr>
          <w:p w:rsidR="001D1F73" w:rsidRPr="008D4F74" w:rsidRDefault="001D1F73" w:rsidP="00BF0381">
            <w:pPr>
              <w:rPr>
                <w:sz w:val="22"/>
                <w:szCs w:val="22"/>
                <w:lang w:val="uk-UA"/>
              </w:rPr>
            </w:pPr>
            <w:r w:rsidRPr="008D4F74">
              <w:rPr>
                <w:sz w:val="22"/>
                <w:szCs w:val="22"/>
                <w:lang w:val="uk-UA"/>
              </w:rPr>
              <w:t xml:space="preserve">1. </w:t>
            </w:r>
            <w:r>
              <w:rPr>
                <w:sz w:val="22"/>
                <w:szCs w:val="22"/>
                <w:lang w:val="uk-UA"/>
              </w:rPr>
              <w:t>Н</w:t>
            </w:r>
            <w:r w:rsidRPr="008D4F74">
              <w:rPr>
                <w:sz w:val="22"/>
                <w:szCs w:val="22"/>
                <w:lang w:val="uk-UA"/>
              </w:rPr>
              <w:t>изькі витрати</w: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0,25</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2</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0,5</w:t>
            </w:r>
          </w:p>
        </w:tc>
        <w:tc>
          <w:tcPr>
            <w:tcW w:w="1074" w:type="dxa"/>
            <w:vAlign w:val="center"/>
          </w:tcPr>
          <w:p w:rsidR="001D1F73" w:rsidRPr="008D4F74" w:rsidRDefault="001D1F73" w:rsidP="00BF0381">
            <w:pPr>
              <w:jc w:val="center"/>
              <w:rPr>
                <w:sz w:val="22"/>
                <w:szCs w:val="22"/>
                <w:lang w:val="uk-UA"/>
              </w:rPr>
            </w:pPr>
            <w:r w:rsidRPr="008D4F74">
              <w:rPr>
                <w:sz w:val="22"/>
                <w:szCs w:val="22"/>
                <w:lang w:val="uk-UA"/>
              </w:rPr>
              <w:t>1</w:t>
            </w:r>
          </w:p>
        </w:tc>
        <w:tc>
          <w:tcPr>
            <w:tcW w:w="1131" w:type="dxa"/>
            <w:vAlign w:val="center"/>
          </w:tcPr>
          <w:p w:rsidR="001D1F73" w:rsidRPr="008D4F74" w:rsidRDefault="001D1F73" w:rsidP="00BF0381">
            <w:pPr>
              <w:jc w:val="center"/>
              <w:rPr>
                <w:sz w:val="22"/>
                <w:szCs w:val="22"/>
                <w:lang w:val="uk-UA"/>
              </w:rPr>
            </w:pPr>
          </w:p>
        </w:tc>
        <w:tc>
          <w:tcPr>
            <w:tcW w:w="1035" w:type="dxa"/>
            <w:vAlign w:val="center"/>
          </w:tcPr>
          <w:p w:rsidR="001D1F73" w:rsidRPr="008D4F74" w:rsidRDefault="001D1F73" w:rsidP="00BF0381">
            <w:pPr>
              <w:jc w:val="center"/>
              <w:rPr>
                <w:sz w:val="22"/>
                <w:szCs w:val="22"/>
                <w:lang w:val="uk-UA"/>
              </w:rPr>
            </w:pPr>
            <w:r w:rsidRPr="008D4F74">
              <w:rPr>
                <w:sz w:val="22"/>
                <w:szCs w:val="22"/>
                <w:lang w:val="uk-UA"/>
              </w:rPr>
              <w:t>3</w:t>
            </w:r>
          </w:p>
        </w:tc>
        <w:tc>
          <w:tcPr>
            <w:tcW w:w="1080" w:type="dxa"/>
            <w:vAlign w:val="center"/>
          </w:tcPr>
          <w:p w:rsidR="001D1F73" w:rsidRPr="008D4F74" w:rsidRDefault="001D1F73" w:rsidP="00BF0381">
            <w:pPr>
              <w:jc w:val="center"/>
              <w:rPr>
                <w:sz w:val="22"/>
                <w:szCs w:val="22"/>
                <w:lang w:val="uk-UA"/>
              </w:rPr>
            </w:pPr>
          </w:p>
        </w:tc>
      </w:tr>
      <w:tr w:rsidR="001D1F73" w:rsidRPr="008D4F74" w:rsidTr="00BF0381">
        <w:tc>
          <w:tcPr>
            <w:tcW w:w="1784" w:type="dxa"/>
          </w:tcPr>
          <w:p w:rsidR="001D1F73" w:rsidRPr="008D4F74" w:rsidRDefault="001D1F73" w:rsidP="00BF0381">
            <w:pPr>
              <w:rPr>
                <w:sz w:val="22"/>
                <w:szCs w:val="22"/>
                <w:lang w:val="uk-UA"/>
              </w:rPr>
            </w:pPr>
            <w:r w:rsidRPr="008D4F74">
              <w:rPr>
                <w:sz w:val="22"/>
                <w:szCs w:val="22"/>
                <w:lang w:val="uk-UA"/>
              </w:rPr>
              <w:t xml:space="preserve">2. </w:t>
            </w:r>
            <w:r>
              <w:rPr>
                <w:sz w:val="22"/>
                <w:szCs w:val="22"/>
                <w:lang w:val="uk-UA"/>
              </w:rPr>
              <w:t>Д</w:t>
            </w:r>
            <w:r w:rsidRPr="008D4F74">
              <w:rPr>
                <w:sz w:val="22"/>
                <w:szCs w:val="22"/>
                <w:lang w:val="uk-UA"/>
              </w:rPr>
              <w:t>ілова репутація</w: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0,25</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1</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0,25</w:t>
            </w:r>
          </w:p>
        </w:tc>
        <w:tc>
          <w:tcPr>
            <w:tcW w:w="1074" w:type="dxa"/>
            <w:vAlign w:val="center"/>
          </w:tcPr>
          <w:p w:rsidR="001D1F73" w:rsidRPr="008D4F74" w:rsidRDefault="001D1F73" w:rsidP="00BF0381">
            <w:pPr>
              <w:jc w:val="center"/>
              <w:rPr>
                <w:sz w:val="22"/>
                <w:szCs w:val="22"/>
                <w:lang w:val="uk-UA"/>
              </w:rPr>
            </w:pPr>
            <w:r w:rsidRPr="008D4F74">
              <w:rPr>
                <w:sz w:val="22"/>
                <w:szCs w:val="22"/>
                <w:lang w:val="uk-UA"/>
              </w:rPr>
              <w:t>2</w:t>
            </w:r>
          </w:p>
        </w:tc>
        <w:tc>
          <w:tcPr>
            <w:tcW w:w="1131" w:type="dxa"/>
            <w:vAlign w:val="center"/>
          </w:tcPr>
          <w:p w:rsidR="001D1F73" w:rsidRPr="008D4F74" w:rsidRDefault="001D1F73" w:rsidP="00BF0381">
            <w:pPr>
              <w:jc w:val="center"/>
              <w:rPr>
                <w:sz w:val="22"/>
                <w:szCs w:val="22"/>
                <w:lang w:val="uk-UA"/>
              </w:rPr>
            </w:pPr>
          </w:p>
        </w:tc>
        <w:tc>
          <w:tcPr>
            <w:tcW w:w="1035" w:type="dxa"/>
            <w:vAlign w:val="center"/>
          </w:tcPr>
          <w:p w:rsidR="001D1F73" w:rsidRPr="008D4F74" w:rsidRDefault="001D1F73" w:rsidP="00BF0381">
            <w:pPr>
              <w:jc w:val="center"/>
              <w:rPr>
                <w:sz w:val="22"/>
                <w:szCs w:val="22"/>
                <w:lang w:val="uk-UA"/>
              </w:rPr>
            </w:pPr>
            <w:r w:rsidRPr="008D4F74">
              <w:rPr>
                <w:sz w:val="22"/>
                <w:szCs w:val="22"/>
                <w:lang w:val="uk-UA"/>
              </w:rPr>
              <w:t>3</w:t>
            </w:r>
          </w:p>
        </w:tc>
        <w:tc>
          <w:tcPr>
            <w:tcW w:w="1080" w:type="dxa"/>
            <w:vAlign w:val="center"/>
          </w:tcPr>
          <w:p w:rsidR="001D1F73" w:rsidRPr="008D4F74" w:rsidRDefault="001D1F73" w:rsidP="00BF0381">
            <w:pPr>
              <w:jc w:val="center"/>
              <w:rPr>
                <w:sz w:val="22"/>
                <w:szCs w:val="22"/>
                <w:lang w:val="uk-UA"/>
              </w:rPr>
            </w:pPr>
          </w:p>
        </w:tc>
      </w:tr>
      <w:tr w:rsidR="001D1F73" w:rsidRPr="008D4F74" w:rsidTr="00BF0381">
        <w:tc>
          <w:tcPr>
            <w:tcW w:w="1784" w:type="dxa"/>
          </w:tcPr>
          <w:p w:rsidR="001D1F73" w:rsidRPr="008D4F74" w:rsidRDefault="001D1F73" w:rsidP="00BF0381">
            <w:pPr>
              <w:rPr>
                <w:sz w:val="22"/>
                <w:szCs w:val="22"/>
                <w:lang w:val="uk-UA"/>
              </w:rPr>
            </w:pPr>
            <w:r w:rsidRPr="008D4F74">
              <w:rPr>
                <w:sz w:val="22"/>
                <w:szCs w:val="22"/>
                <w:lang w:val="uk-UA"/>
              </w:rPr>
              <w:t xml:space="preserve">3. </w:t>
            </w:r>
            <w:r>
              <w:rPr>
                <w:sz w:val="22"/>
                <w:szCs w:val="22"/>
                <w:lang w:val="uk-UA"/>
              </w:rPr>
              <w:t>Я</w:t>
            </w:r>
            <w:r w:rsidRPr="008D4F74">
              <w:rPr>
                <w:sz w:val="22"/>
                <w:szCs w:val="22"/>
                <w:lang w:val="uk-UA"/>
              </w:rPr>
              <w:t>кість продукції</w: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0,2</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3</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0,6</w:t>
            </w:r>
          </w:p>
        </w:tc>
        <w:tc>
          <w:tcPr>
            <w:tcW w:w="1074" w:type="dxa"/>
            <w:vAlign w:val="center"/>
          </w:tcPr>
          <w:p w:rsidR="001D1F73" w:rsidRPr="008D4F74" w:rsidRDefault="001D1F73" w:rsidP="00BF0381">
            <w:pPr>
              <w:jc w:val="center"/>
              <w:rPr>
                <w:sz w:val="22"/>
                <w:szCs w:val="22"/>
                <w:lang w:val="uk-UA"/>
              </w:rPr>
            </w:pPr>
            <w:r w:rsidRPr="008D4F74">
              <w:rPr>
                <w:sz w:val="22"/>
                <w:szCs w:val="22"/>
                <w:lang w:val="uk-UA"/>
              </w:rPr>
              <w:t>1</w:t>
            </w:r>
          </w:p>
        </w:tc>
        <w:tc>
          <w:tcPr>
            <w:tcW w:w="1131" w:type="dxa"/>
            <w:vAlign w:val="center"/>
          </w:tcPr>
          <w:p w:rsidR="001D1F73" w:rsidRPr="008D4F74" w:rsidRDefault="001D1F73" w:rsidP="00BF0381">
            <w:pPr>
              <w:jc w:val="center"/>
              <w:rPr>
                <w:sz w:val="22"/>
                <w:szCs w:val="22"/>
                <w:lang w:val="uk-UA"/>
              </w:rPr>
            </w:pPr>
          </w:p>
        </w:tc>
        <w:tc>
          <w:tcPr>
            <w:tcW w:w="1035" w:type="dxa"/>
            <w:vAlign w:val="center"/>
          </w:tcPr>
          <w:p w:rsidR="001D1F73" w:rsidRPr="008D4F74" w:rsidRDefault="001D1F73" w:rsidP="00BF0381">
            <w:pPr>
              <w:jc w:val="center"/>
              <w:rPr>
                <w:sz w:val="22"/>
                <w:szCs w:val="22"/>
                <w:lang w:val="uk-UA"/>
              </w:rPr>
            </w:pPr>
            <w:r w:rsidRPr="008D4F74">
              <w:rPr>
                <w:sz w:val="22"/>
                <w:szCs w:val="22"/>
                <w:lang w:val="uk-UA"/>
              </w:rPr>
              <w:t>2</w:t>
            </w:r>
          </w:p>
        </w:tc>
        <w:tc>
          <w:tcPr>
            <w:tcW w:w="1080" w:type="dxa"/>
            <w:vAlign w:val="center"/>
          </w:tcPr>
          <w:p w:rsidR="001D1F73" w:rsidRPr="008D4F74" w:rsidRDefault="001D1F73" w:rsidP="00BF0381">
            <w:pPr>
              <w:jc w:val="center"/>
              <w:rPr>
                <w:sz w:val="22"/>
                <w:szCs w:val="22"/>
                <w:lang w:val="uk-UA"/>
              </w:rPr>
            </w:pPr>
          </w:p>
        </w:tc>
      </w:tr>
      <w:tr w:rsidR="001D1F73" w:rsidRPr="008D4F74" w:rsidTr="00BF0381">
        <w:tc>
          <w:tcPr>
            <w:tcW w:w="1784" w:type="dxa"/>
          </w:tcPr>
          <w:p w:rsidR="001D1F73" w:rsidRPr="008D4F74" w:rsidRDefault="001D1F73" w:rsidP="00BF0381">
            <w:pPr>
              <w:rPr>
                <w:sz w:val="22"/>
                <w:szCs w:val="22"/>
                <w:lang w:val="uk-UA"/>
              </w:rPr>
            </w:pPr>
            <w:r w:rsidRPr="008D4F74">
              <w:rPr>
                <w:sz w:val="22"/>
                <w:szCs w:val="22"/>
                <w:lang w:val="uk-UA"/>
              </w:rPr>
              <w:t xml:space="preserve">4. </w:t>
            </w:r>
            <w:r>
              <w:rPr>
                <w:sz w:val="22"/>
                <w:szCs w:val="22"/>
                <w:lang w:val="uk-UA"/>
              </w:rPr>
              <w:t>С</w:t>
            </w:r>
            <w:r w:rsidRPr="008D4F74">
              <w:rPr>
                <w:sz w:val="22"/>
                <w:szCs w:val="22"/>
                <w:lang w:val="uk-UA"/>
              </w:rPr>
              <w:t>ервісне обслуговування</w: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0,2</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3</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0,6</w:t>
            </w:r>
          </w:p>
        </w:tc>
        <w:tc>
          <w:tcPr>
            <w:tcW w:w="1074" w:type="dxa"/>
            <w:vAlign w:val="center"/>
          </w:tcPr>
          <w:p w:rsidR="001D1F73" w:rsidRPr="008D4F74" w:rsidRDefault="001D1F73" w:rsidP="00BF0381">
            <w:pPr>
              <w:jc w:val="center"/>
              <w:rPr>
                <w:sz w:val="22"/>
                <w:szCs w:val="22"/>
                <w:lang w:val="uk-UA"/>
              </w:rPr>
            </w:pPr>
            <w:r w:rsidRPr="008D4F74">
              <w:rPr>
                <w:sz w:val="22"/>
                <w:szCs w:val="22"/>
                <w:lang w:val="uk-UA"/>
              </w:rPr>
              <w:t>2</w:t>
            </w:r>
          </w:p>
        </w:tc>
        <w:tc>
          <w:tcPr>
            <w:tcW w:w="1131" w:type="dxa"/>
            <w:vAlign w:val="center"/>
          </w:tcPr>
          <w:p w:rsidR="001D1F73" w:rsidRPr="008D4F74" w:rsidRDefault="001D1F73" w:rsidP="00BF0381">
            <w:pPr>
              <w:jc w:val="center"/>
              <w:rPr>
                <w:sz w:val="22"/>
                <w:szCs w:val="22"/>
                <w:lang w:val="uk-UA"/>
              </w:rPr>
            </w:pPr>
          </w:p>
        </w:tc>
        <w:tc>
          <w:tcPr>
            <w:tcW w:w="1035" w:type="dxa"/>
            <w:vAlign w:val="center"/>
          </w:tcPr>
          <w:p w:rsidR="001D1F73" w:rsidRPr="008D4F74" w:rsidRDefault="001D1F73" w:rsidP="00BF0381">
            <w:pPr>
              <w:jc w:val="center"/>
              <w:rPr>
                <w:sz w:val="22"/>
                <w:szCs w:val="22"/>
                <w:lang w:val="uk-UA"/>
              </w:rPr>
            </w:pPr>
            <w:r w:rsidRPr="008D4F74">
              <w:rPr>
                <w:sz w:val="22"/>
                <w:szCs w:val="22"/>
                <w:lang w:val="uk-UA"/>
              </w:rPr>
              <w:t>1</w:t>
            </w:r>
          </w:p>
        </w:tc>
        <w:tc>
          <w:tcPr>
            <w:tcW w:w="1080" w:type="dxa"/>
            <w:vAlign w:val="center"/>
          </w:tcPr>
          <w:p w:rsidR="001D1F73" w:rsidRPr="008D4F74" w:rsidRDefault="001D1F73" w:rsidP="00BF0381">
            <w:pPr>
              <w:jc w:val="center"/>
              <w:rPr>
                <w:sz w:val="22"/>
                <w:szCs w:val="22"/>
                <w:lang w:val="uk-UA"/>
              </w:rPr>
            </w:pPr>
          </w:p>
        </w:tc>
      </w:tr>
      <w:tr w:rsidR="001D1F73" w:rsidRPr="008D4F74" w:rsidTr="00BF0381">
        <w:tc>
          <w:tcPr>
            <w:tcW w:w="1784" w:type="dxa"/>
          </w:tcPr>
          <w:p w:rsidR="001D1F73" w:rsidRPr="008D4F74" w:rsidRDefault="001D1F73" w:rsidP="00BF0381">
            <w:pPr>
              <w:rPr>
                <w:sz w:val="22"/>
                <w:szCs w:val="22"/>
                <w:lang w:val="uk-UA"/>
              </w:rPr>
            </w:pPr>
            <w:r w:rsidRPr="008D4F74">
              <w:rPr>
                <w:sz w:val="22"/>
                <w:szCs w:val="22"/>
                <w:lang w:val="uk-UA"/>
              </w:rPr>
              <w:t xml:space="preserve">5. </w:t>
            </w:r>
            <w:r>
              <w:rPr>
                <w:sz w:val="22"/>
                <w:szCs w:val="22"/>
                <w:lang w:val="uk-UA"/>
              </w:rPr>
              <w:t>О</w:t>
            </w:r>
            <w:r w:rsidRPr="008D4F74">
              <w:rPr>
                <w:sz w:val="22"/>
                <w:szCs w:val="22"/>
                <w:lang w:val="uk-UA"/>
              </w:rPr>
              <w:t>рганізація виробництва</w: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0,1</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2</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0,2</w:t>
            </w:r>
          </w:p>
        </w:tc>
        <w:tc>
          <w:tcPr>
            <w:tcW w:w="1074" w:type="dxa"/>
            <w:vAlign w:val="center"/>
          </w:tcPr>
          <w:p w:rsidR="001D1F73" w:rsidRPr="008D4F74" w:rsidRDefault="001D1F73" w:rsidP="00BF0381">
            <w:pPr>
              <w:jc w:val="center"/>
              <w:rPr>
                <w:sz w:val="22"/>
                <w:szCs w:val="22"/>
                <w:lang w:val="uk-UA"/>
              </w:rPr>
            </w:pPr>
            <w:r w:rsidRPr="008D4F74">
              <w:rPr>
                <w:sz w:val="22"/>
                <w:szCs w:val="22"/>
                <w:lang w:val="uk-UA"/>
              </w:rPr>
              <w:t>3</w:t>
            </w:r>
          </w:p>
        </w:tc>
        <w:tc>
          <w:tcPr>
            <w:tcW w:w="1131" w:type="dxa"/>
            <w:vAlign w:val="center"/>
          </w:tcPr>
          <w:p w:rsidR="001D1F73" w:rsidRPr="008D4F74" w:rsidRDefault="001D1F73" w:rsidP="00BF0381">
            <w:pPr>
              <w:jc w:val="center"/>
              <w:rPr>
                <w:sz w:val="22"/>
                <w:szCs w:val="22"/>
                <w:lang w:val="uk-UA"/>
              </w:rPr>
            </w:pPr>
          </w:p>
        </w:tc>
        <w:tc>
          <w:tcPr>
            <w:tcW w:w="1035" w:type="dxa"/>
            <w:vAlign w:val="center"/>
          </w:tcPr>
          <w:p w:rsidR="001D1F73" w:rsidRPr="008D4F74" w:rsidRDefault="001D1F73" w:rsidP="00BF0381">
            <w:pPr>
              <w:jc w:val="center"/>
              <w:rPr>
                <w:sz w:val="22"/>
                <w:szCs w:val="22"/>
                <w:lang w:val="uk-UA"/>
              </w:rPr>
            </w:pPr>
            <w:r w:rsidRPr="008D4F74">
              <w:rPr>
                <w:sz w:val="22"/>
                <w:szCs w:val="22"/>
                <w:lang w:val="uk-UA"/>
              </w:rPr>
              <w:t>1</w:t>
            </w:r>
          </w:p>
        </w:tc>
        <w:tc>
          <w:tcPr>
            <w:tcW w:w="1080" w:type="dxa"/>
            <w:vAlign w:val="center"/>
          </w:tcPr>
          <w:p w:rsidR="001D1F73" w:rsidRPr="008D4F74" w:rsidRDefault="001D1F73" w:rsidP="00BF0381">
            <w:pPr>
              <w:jc w:val="center"/>
              <w:rPr>
                <w:sz w:val="22"/>
                <w:szCs w:val="22"/>
                <w:lang w:val="uk-UA"/>
              </w:rPr>
            </w:pPr>
          </w:p>
        </w:tc>
      </w:tr>
      <w:tr w:rsidR="001D1F73" w:rsidRPr="008D4F74" w:rsidTr="00BF0381">
        <w:tc>
          <w:tcPr>
            <w:tcW w:w="1784" w:type="dxa"/>
          </w:tcPr>
          <w:p w:rsidR="001D1F73" w:rsidRPr="008D4F74" w:rsidRDefault="001D1F73" w:rsidP="00BF0381">
            <w:pPr>
              <w:rPr>
                <w:sz w:val="22"/>
                <w:szCs w:val="22"/>
                <w:lang w:val="uk-UA"/>
              </w:rPr>
            </w:pPr>
            <w:r w:rsidRPr="008D4F74">
              <w:rPr>
                <w:position w:val="-14"/>
                <w:sz w:val="22"/>
                <w:szCs w:val="22"/>
              </w:rPr>
              <w:object w:dxaOrig="460" w:dyaOrig="400">
                <v:shape id="_x0000_i1038" type="#_x0000_t75" style="width:23.25pt;height:20.25pt" o:ole="">
                  <v:imagedata r:id="rId30" o:title=""/>
                </v:shape>
                <o:OLEObject Type="Embed" ProgID="Equation.DSMT4" ShapeID="_x0000_i1038" DrawAspect="Content" ObjectID="_1425822170" r:id="rId31"/>
              </w:object>
            </w:r>
          </w:p>
        </w:tc>
        <w:tc>
          <w:tcPr>
            <w:tcW w:w="1192" w:type="dxa"/>
            <w:vAlign w:val="center"/>
          </w:tcPr>
          <w:p w:rsidR="001D1F73" w:rsidRPr="008D4F74" w:rsidRDefault="001D1F73" w:rsidP="00BF0381">
            <w:pPr>
              <w:jc w:val="center"/>
              <w:rPr>
                <w:sz w:val="22"/>
                <w:szCs w:val="22"/>
                <w:lang w:val="uk-UA"/>
              </w:rPr>
            </w:pPr>
            <w:r w:rsidRPr="008D4F74">
              <w:rPr>
                <w:sz w:val="22"/>
                <w:szCs w:val="22"/>
                <w:lang w:val="uk-UA"/>
              </w:rPr>
              <w:t>10</w:t>
            </w:r>
          </w:p>
        </w:tc>
        <w:tc>
          <w:tcPr>
            <w:tcW w:w="1272" w:type="dxa"/>
            <w:vAlign w:val="center"/>
          </w:tcPr>
          <w:p w:rsidR="001D1F73" w:rsidRPr="008D4F74" w:rsidRDefault="001D1F73" w:rsidP="00BF0381">
            <w:pPr>
              <w:jc w:val="center"/>
              <w:rPr>
                <w:sz w:val="22"/>
                <w:szCs w:val="22"/>
                <w:lang w:val="uk-UA"/>
              </w:rPr>
            </w:pPr>
            <w:r w:rsidRPr="008D4F74">
              <w:rPr>
                <w:sz w:val="22"/>
                <w:szCs w:val="22"/>
                <w:lang w:val="uk-UA"/>
              </w:rPr>
              <w:t>місце показників (трьохбальна шкала)</w:t>
            </w:r>
          </w:p>
        </w:tc>
        <w:tc>
          <w:tcPr>
            <w:tcW w:w="1260" w:type="dxa"/>
            <w:vAlign w:val="center"/>
          </w:tcPr>
          <w:p w:rsidR="001D1F73" w:rsidRPr="008D4F74" w:rsidRDefault="001D1F73" w:rsidP="00BF0381">
            <w:pPr>
              <w:jc w:val="center"/>
              <w:rPr>
                <w:sz w:val="22"/>
                <w:szCs w:val="22"/>
                <w:lang w:val="uk-UA"/>
              </w:rPr>
            </w:pPr>
            <w:r w:rsidRPr="008D4F74">
              <w:rPr>
                <w:sz w:val="22"/>
                <w:szCs w:val="22"/>
                <w:lang w:val="uk-UA"/>
              </w:rPr>
              <w:t>2,15</w:t>
            </w:r>
          </w:p>
        </w:tc>
        <w:tc>
          <w:tcPr>
            <w:tcW w:w="1074" w:type="dxa"/>
            <w:vAlign w:val="center"/>
          </w:tcPr>
          <w:p w:rsidR="001D1F73" w:rsidRPr="008D4F74" w:rsidRDefault="001D1F73" w:rsidP="00BF0381">
            <w:pPr>
              <w:jc w:val="center"/>
              <w:rPr>
                <w:sz w:val="22"/>
                <w:szCs w:val="22"/>
                <w:lang w:val="uk-UA"/>
              </w:rPr>
            </w:pPr>
          </w:p>
        </w:tc>
        <w:tc>
          <w:tcPr>
            <w:tcW w:w="1131" w:type="dxa"/>
            <w:vAlign w:val="center"/>
          </w:tcPr>
          <w:p w:rsidR="001D1F73" w:rsidRPr="008D4F74" w:rsidRDefault="001D1F73" w:rsidP="00BF0381">
            <w:pPr>
              <w:jc w:val="center"/>
              <w:rPr>
                <w:sz w:val="22"/>
                <w:szCs w:val="22"/>
                <w:lang w:val="uk-UA"/>
              </w:rPr>
            </w:pPr>
            <w:r w:rsidRPr="008D4F74">
              <w:rPr>
                <w:sz w:val="22"/>
                <w:szCs w:val="22"/>
                <w:lang w:val="uk-UA"/>
              </w:rPr>
              <w:t>1,65</w:t>
            </w:r>
          </w:p>
        </w:tc>
        <w:tc>
          <w:tcPr>
            <w:tcW w:w="1035" w:type="dxa"/>
            <w:vAlign w:val="center"/>
          </w:tcPr>
          <w:p w:rsidR="001D1F73" w:rsidRPr="008D4F74" w:rsidRDefault="001D1F73" w:rsidP="00BF0381">
            <w:pPr>
              <w:jc w:val="center"/>
              <w:rPr>
                <w:sz w:val="22"/>
                <w:szCs w:val="22"/>
                <w:lang w:val="uk-UA"/>
              </w:rPr>
            </w:pPr>
          </w:p>
        </w:tc>
        <w:tc>
          <w:tcPr>
            <w:tcW w:w="1080" w:type="dxa"/>
            <w:vAlign w:val="center"/>
          </w:tcPr>
          <w:p w:rsidR="001D1F73" w:rsidRPr="008D4F74" w:rsidRDefault="001D1F73" w:rsidP="00BF0381">
            <w:pPr>
              <w:jc w:val="center"/>
              <w:rPr>
                <w:sz w:val="22"/>
                <w:szCs w:val="22"/>
                <w:lang w:val="uk-UA"/>
              </w:rPr>
            </w:pPr>
            <w:r w:rsidRPr="008D4F74">
              <w:rPr>
                <w:sz w:val="22"/>
                <w:szCs w:val="22"/>
                <w:lang w:val="uk-UA"/>
              </w:rPr>
              <w:t>2,2</w:t>
            </w:r>
          </w:p>
        </w:tc>
      </w:tr>
    </w:tbl>
    <w:p w:rsidR="001D1F73" w:rsidRDefault="001D1F73" w:rsidP="001D1F73">
      <w:pPr>
        <w:rPr>
          <w:lang w:val="uk-UA"/>
        </w:rPr>
      </w:pPr>
    </w:p>
    <w:p w:rsidR="001D1F73" w:rsidRDefault="001D1F73" w:rsidP="001D1F73">
      <w:pPr>
        <w:rPr>
          <w:lang w:val="uk-UA"/>
        </w:rPr>
      </w:pPr>
      <w:r>
        <w:rPr>
          <w:lang w:val="uk-UA"/>
        </w:rPr>
        <w:t>Висновок: найкраще значення у другого підприємства.</w:t>
      </w:r>
    </w:p>
    <w:p w:rsidR="001D1F73" w:rsidRDefault="001D1F73" w:rsidP="001D1F73">
      <w:pPr>
        <w:rPr>
          <w:lang w:val="uk-UA"/>
        </w:rPr>
      </w:pPr>
    </w:p>
    <w:p w:rsidR="006A346E" w:rsidRPr="001D1F73" w:rsidRDefault="001D1F73">
      <w:pPr>
        <w:rPr>
          <w:lang w:val="uk-UA"/>
        </w:rPr>
      </w:pPr>
      <w:bookmarkStart w:id="0" w:name="_GoBack"/>
      <w:bookmarkEnd w:id="0"/>
    </w:p>
    <w:sectPr w:rsidR="006A346E" w:rsidRPr="001D1F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F73"/>
    <w:multiLevelType w:val="hybridMultilevel"/>
    <w:tmpl w:val="FEA8173E"/>
    <w:lvl w:ilvl="0" w:tplc="AE9293CA">
      <w:start w:val="1"/>
      <w:numFmt w:val="decimal"/>
      <w:lvlText w:val="%1)"/>
      <w:lvlJc w:val="left"/>
      <w:pPr>
        <w:tabs>
          <w:tab w:val="num" w:pos="567"/>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A2347A8"/>
    <w:multiLevelType w:val="hybridMultilevel"/>
    <w:tmpl w:val="5BCAC3E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3D6633D3"/>
    <w:multiLevelType w:val="hybridMultilevel"/>
    <w:tmpl w:val="CD7C8444"/>
    <w:lvl w:ilvl="0" w:tplc="95488A8A">
      <w:start w:val="1"/>
      <w:numFmt w:val="decimal"/>
      <w:lvlText w:val="%1)"/>
      <w:lvlJc w:val="left"/>
      <w:pPr>
        <w:tabs>
          <w:tab w:val="num" w:pos="567"/>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D8E3149"/>
    <w:multiLevelType w:val="hybridMultilevel"/>
    <w:tmpl w:val="792272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52C6811"/>
    <w:multiLevelType w:val="hybridMultilevel"/>
    <w:tmpl w:val="5282A53C"/>
    <w:lvl w:ilvl="0" w:tplc="95488A8A">
      <w:start w:val="1"/>
      <w:numFmt w:val="decimal"/>
      <w:lvlText w:val="%1)"/>
      <w:lvlJc w:val="left"/>
      <w:pPr>
        <w:tabs>
          <w:tab w:val="num" w:pos="567"/>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5656FAA"/>
    <w:multiLevelType w:val="hybridMultilevel"/>
    <w:tmpl w:val="DA021D60"/>
    <w:lvl w:ilvl="0" w:tplc="5D0859D6">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727B3019"/>
    <w:multiLevelType w:val="hybridMultilevel"/>
    <w:tmpl w:val="D548B540"/>
    <w:lvl w:ilvl="0" w:tplc="CF906432">
      <w:start w:val="1"/>
      <w:numFmt w:val="bullet"/>
      <w:lvlText w:val=""/>
      <w:lvlJc w:val="left"/>
      <w:pPr>
        <w:tabs>
          <w:tab w:val="num" w:pos="567"/>
        </w:tabs>
        <w:ind w:left="567" w:hanging="207"/>
      </w:pPr>
      <w:rPr>
        <w:rFonts w:ascii="Symbol" w:hAnsi="Symbol" w:hint="default"/>
      </w:rPr>
    </w:lvl>
    <w:lvl w:ilvl="1" w:tplc="04190003" w:tentative="1">
      <w:start w:val="1"/>
      <w:numFmt w:val="bullet"/>
      <w:lvlText w:val="o"/>
      <w:lvlJc w:val="left"/>
      <w:pPr>
        <w:ind w:left="2054" w:hanging="360"/>
      </w:pPr>
      <w:rPr>
        <w:rFonts w:ascii="Courier New" w:hAnsi="Courier New" w:cs="Courier New" w:hint="default"/>
      </w:rPr>
    </w:lvl>
    <w:lvl w:ilvl="2" w:tplc="04190005" w:tentative="1">
      <w:start w:val="1"/>
      <w:numFmt w:val="bullet"/>
      <w:lvlText w:val=""/>
      <w:lvlJc w:val="left"/>
      <w:pPr>
        <w:ind w:left="2774" w:hanging="360"/>
      </w:pPr>
      <w:rPr>
        <w:rFonts w:ascii="Wingdings" w:hAnsi="Wingdings" w:hint="default"/>
      </w:rPr>
    </w:lvl>
    <w:lvl w:ilvl="3" w:tplc="04190001" w:tentative="1">
      <w:start w:val="1"/>
      <w:numFmt w:val="bullet"/>
      <w:lvlText w:val=""/>
      <w:lvlJc w:val="left"/>
      <w:pPr>
        <w:ind w:left="3494" w:hanging="360"/>
      </w:pPr>
      <w:rPr>
        <w:rFonts w:ascii="Symbol" w:hAnsi="Symbol" w:hint="default"/>
      </w:rPr>
    </w:lvl>
    <w:lvl w:ilvl="4" w:tplc="04190003" w:tentative="1">
      <w:start w:val="1"/>
      <w:numFmt w:val="bullet"/>
      <w:lvlText w:val="o"/>
      <w:lvlJc w:val="left"/>
      <w:pPr>
        <w:ind w:left="4214" w:hanging="360"/>
      </w:pPr>
      <w:rPr>
        <w:rFonts w:ascii="Courier New" w:hAnsi="Courier New" w:cs="Courier New" w:hint="default"/>
      </w:rPr>
    </w:lvl>
    <w:lvl w:ilvl="5" w:tplc="04190005" w:tentative="1">
      <w:start w:val="1"/>
      <w:numFmt w:val="bullet"/>
      <w:lvlText w:val=""/>
      <w:lvlJc w:val="left"/>
      <w:pPr>
        <w:ind w:left="4934" w:hanging="360"/>
      </w:pPr>
      <w:rPr>
        <w:rFonts w:ascii="Wingdings" w:hAnsi="Wingdings" w:hint="default"/>
      </w:rPr>
    </w:lvl>
    <w:lvl w:ilvl="6" w:tplc="04190001" w:tentative="1">
      <w:start w:val="1"/>
      <w:numFmt w:val="bullet"/>
      <w:lvlText w:val=""/>
      <w:lvlJc w:val="left"/>
      <w:pPr>
        <w:ind w:left="5654" w:hanging="360"/>
      </w:pPr>
      <w:rPr>
        <w:rFonts w:ascii="Symbol" w:hAnsi="Symbol" w:hint="default"/>
      </w:rPr>
    </w:lvl>
    <w:lvl w:ilvl="7" w:tplc="04190003" w:tentative="1">
      <w:start w:val="1"/>
      <w:numFmt w:val="bullet"/>
      <w:lvlText w:val="o"/>
      <w:lvlJc w:val="left"/>
      <w:pPr>
        <w:ind w:left="6374" w:hanging="360"/>
      </w:pPr>
      <w:rPr>
        <w:rFonts w:ascii="Courier New" w:hAnsi="Courier New" w:cs="Courier New" w:hint="default"/>
      </w:rPr>
    </w:lvl>
    <w:lvl w:ilvl="8" w:tplc="04190005" w:tentative="1">
      <w:start w:val="1"/>
      <w:numFmt w:val="bullet"/>
      <w:lvlText w:val=""/>
      <w:lvlJc w:val="left"/>
      <w:pPr>
        <w:ind w:left="7094"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4A"/>
    <w:rsid w:val="000B624A"/>
    <w:rsid w:val="001D1F73"/>
    <w:rsid w:val="003E7AC7"/>
    <w:rsid w:val="00653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F7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1D1F73"/>
    <w:pPr>
      <w:spacing w:after="60"/>
      <w:ind w:firstLine="567"/>
      <w:outlineLvl w:val="1"/>
    </w:pPr>
    <w:rPr>
      <w:b/>
      <w:lang w:val="en-US" w:eastAsia="en-US"/>
    </w:rPr>
  </w:style>
  <w:style w:type="character" w:customStyle="1" w:styleId="a4">
    <w:name w:val="Подзаголовок Знак"/>
    <w:basedOn w:val="a0"/>
    <w:link w:val="a3"/>
    <w:rsid w:val="001D1F73"/>
    <w:rPr>
      <w:rFonts w:ascii="Times New Roman" w:eastAsia="Times New Roman" w:hAnsi="Times New Roman" w:cs="Times New Roman"/>
      <w:b/>
      <w:sz w:val="24"/>
      <w:szCs w:val="24"/>
      <w:lang w:val="en-US"/>
    </w:rPr>
  </w:style>
  <w:style w:type="paragraph" w:styleId="a5">
    <w:name w:val="List Paragraph"/>
    <w:basedOn w:val="a"/>
    <w:qFormat/>
    <w:rsid w:val="001D1F73"/>
    <w:pPr>
      <w:ind w:left="720" w:firstLine="567"/>
      <w:jc w:val="both"/>
    </w:pPr>
    <w:rPr>
      <w:lang w:val="en-US" w:eastAsia="en-US"/>
    </w:rPr>
  </w:style>
  <w:style w:type="paragraph" w:styleId="a6">
    <w:name w:val="Balloon Text"/>
    <w:basedOn w:val="a"/>
    <w:link w:val="a7"/>
    <w:uiPriority w:val="99"/>
    <w:semiHidden/>
    <w:unhideWhenUsed/>
    <w:rsid w:val="001D1F73"/>
    <w:rPr>
      <w:rFonts w:ascii="Tahoma" w:hAnsi="Tahoma" w:cs="Tahoma"/>
      <w:sz w:val="16"/>
      <w:szCs w:val="16"/>
    </w:rPr>
  </w:style>
  <w:style w:type="character" w:customStyle="1" w:styleId="a7">
    <w:name w:val="Текст выноски Знак"/>
    <w:basedOn w:val="a0"/>
    <w:link w:val="a6"/>
    <w:uiPriority w:val="99"/>
    <w:semiHidden/>
    <w:rsid w:val="001D1F7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F7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1D1F73"/>
    <w:pPr>
      <w:spacing w:after="60"/>
      <w:ind w:firstLine="567"/>
      <w:outlineLvl w:val="1"/>
    </w:pPr>
    <w:rPr>
      <w:b/>
      <w:lang w:val="en-US" w:eastAsia="en-US"/>
    </w:rPr>
  </w:style>
  <w:style w:type="character" w:customStyle="1" w:styleId="a4">
    <w:name w:val="Подзаголовок Знак"/>
    <w:basedOn w:val="a0"/>
    <w:link w:val="a3"/>
    <w:rsid w:val="001D1F73"/>
    <w:rPr>
      <w:rFonts w:ascii="Times New Roman" w:eastAsia="Times New Roman" w:hAnsi="Times New Roman" w:cs="Times New Roman"/>
      <w:b/>
      <w:sz w:val="24"/>
      <w:szCs w:val="24"/>
      <w:lang w:val="en-US"/>
    </w:rPr>
  </w:style>
  <w:style w:type="paragraph" w:styleId="a5">
    <w:name w:val="List Paragraph"/>
    <w:basedOn w:val="a"/>
    <w:qFormat/>
    <w:rsid w:val="001D1F73"/>
    <w:pPr>
      <w:ind w:left="720" w:firstLine="567"/>
      <w:jc w:val="both"/>
    </w:pPr>
    <w:rPr>
      <w:lang w:val="en-US" w:eastAsia="en-US"/>
    </w:rPr>
  </w:style>
  <w:style w:type="paragraph" w:styleId="a6">
    <w:name w:val="Balloon Text"/>
    <w:basedOn w:val="a"/>
    <w:link w:val="a7"/>
    <w:uiPriority w:val="99"/>
    <w:semiHidden/>
    <w:unhideWhenUsed/>
    <w:rsid w:val="001D1F73"/>
    <w:rPr>
      <w:rFonts w:ascii="Tahoma" w:hAnsi="Tahoma" w:cs="Tahoma"/>
      <w:sz w:val="16"/>
      <w:szCs w:val="16"/>
    </w:rPr>
  </w:style>
  <w:style w:type="character" w:customStyle="1" w:styleId="a7">
    <w:name w:val="Текст выноски Знак"/>
    <w:basedOn w:val="a0"/>
    <w:link w:val="a6"/>
    <w:uiPriority w:val="99"/>
    <w:semiHidden/>
    <w:rsid w:val="001D1F7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emf"/><Relationship Id="rId30" Type="http://schemas.openxmlformats.org/officeDocument/2006/relationships/image" Target="media/image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1515</Words>
  <Characters>8640</Characters>
  <Application>Microsoft Office Word</Application>
  <DocSecurity>0</DocSecurity>
  <Lines>72</Lines>
  <Paragraphs>20</Paragraphs>
  <ScaleCrop>false</ScaleCrop>
  <Company>SPecialiST RePack</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2013-03-26T12:54:00Z</dcterms:created>
  <dcterms:modified xsi:type="dcterms:W3CDTF">2013-03-26T12:54:00Z</dcterms:modified>
</cp:coreProperties>
</file>