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8"/>
        <w:gridCol w:w="81"/>
      </w:tblGrid>
      <w:tr w:rsidR="00B70A8D" w:rsidRPr="00B70A8D" w:rsidTr="00B70A8D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B70A8D" w:rsidRPr="00B70A8D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B70A8D" w:rsidRPr="00B70A8D" w:rsidRDefault="00B70A8D" w:rsidP="00B70A8D">
                  <w:pPr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</w:pPr>
                  <w:proofErr w:type="spellStart"/>
                  <w:r w:rsidRPr="00B70A8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Страница</w:t>
                  </w:r>
                  <w:proofErr w:type="spellEnd"/>
                  <w:r w:rsidRPr="00B70A8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: 8 из 21;   </w:t>
                  </w:r>
                  <w:hyperlink r:id="rId6" w:history="1">
                    <w:r w:rsidRPr="00B70A8D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&lt;&lt;назад</w:t>
                    </w:r>
                  </w:hyperlink>
                  <w:r w:rsidRPr="00B70A8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7" w:history="1">
                    <w:r w:rsidRPr="00B70A8D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^</w:t>
                    </w:r>
                  </w:hyperlink>
                  <w:r w:rsidRPr="00B70A8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18"/>
                      <w:szCs w:val="18"/>
                    </w:rPr>
                    <w:t> </w:t>
                  </w:r>
                  <w:hyperlink r:id="rId8" w:history="1">
                    <w:r w:rsidRPr="00B70A8D">
                      <w:rPr>
                        <w:rFonts w:ascii="Arial" w:eastAsia="Times New Roman" w:hAnsi="Arial" w:cs="Arial"/>
                        <w:color w:val="3333CC"/>
                        <w:sz w:val="18"/>
                        <w:szCs w:val="18"/>
                        <w:u w:val="single"/>
                      </w:rPr>
                      <w:t>вперед&gt;&gt;</w:t>
                    </w:r>
                  </w:hyperlink>
                </w:p>
              </w:tc>
            </w:tr>
            <w:tr w:rsidR="00B70A8D" w:rsidRPr="00B70A8D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B70A8D" w:rsidRPr="00B70A8D" w:rsidRDefault="00B70A8D" w:rsidP="00B70A8D">
                  <w:pPr>
                    <w:spacing w:after="0" w:line="240" w:lineRule="auto"/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</w:rPr>
                  </w:pPr>
                  <w:bookmarkStart w:id="0" w:name="xex9"/>
                  <w:r w:rsidRPr="00B70A8D">
                    <w:rPr>
                      <w:rFonts w:ascii="Arial" w:eastAsia="Times New Roman" w:hAnsi="Arial" w:cs="Arial"/>
                      <w:b/>
                      <w:bCs/>
                      <w:color w:val="000000"/>
                      <w:sz w:val="21"/>
                      <w:szCs w:val="21"/>
                      <w:shd w:val="clear" w:color="auto" w:fill="FFFFFF"/>
                    </w:rPr>
                    <w:t>4.4. d-алгоритм</w:t>
                  </w:r>
                  <w:bookmarkEnd w:id="0"/>
                </w:p>
              </w:tc>
            </w:tr>
          </w:tbl>
          <w:p w:rsidR="00AC551F" w:rsidRDefault="00AC551F"/>
          <w:tbl>
            <w:tblPr>
              <w:tblW w:w="5000" w:type="pct"/>
              <w:tblCellSpacing w:w="0" w:type="dxa"/>
              <w:shd w:val="clear" w:color="auto" w:fill="FFFFFF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9573"/>
            </w:tblGrid>
            <w:tr w:rsidR="00B70A8D" w:rsidRPr="00B70A8D">
              <w:trPr>
                <w:tblCellSpacing w:w="0" w:type="dxa"/>
              </w:trPr>
              <w:tc>
                <w:tcPr>
                  <w:tcW w:w="5000" w:type="pct"/>
                  <w:shd w:val="clear" w:color="auto" w:fill="FFFFFF"/>
                  <w:vAlign w:val="center"/>
                  <w:hideMark/>
                </w:tcPr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Общее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решение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задачи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основе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идеи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наиболее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удачно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воплощено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предложенном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Ротом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Roth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J.P., 1967)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основе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лежат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понятия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логических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различного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правила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действия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над кубами,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делает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удобным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реализацию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ЭВМ.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логическим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кубом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понимается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вектор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размерностью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n,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координата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одно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пяти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значений: 0, 1, х,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Здесь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 и 1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представляют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обычные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булевы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х – символ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неопределенного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безразличного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;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более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точно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смысл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так же,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смысл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символов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 и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станет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ясен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дальнейшего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Над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парой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логических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А =(а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а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,...,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n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 и В =(b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b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2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,...,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b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n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производить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покоординатно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правилам: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Arial" w:eastAsia="Times New Roman" w:hAnsi="Arial" w:cs="Arial"/>
                      <w:noProof/>
                      <w:color w:val="000000"/>
                      <w:sz w:val="20"/>
                      <w:szCs w:val="20"/>
                      <w:vertAlign w:val="subscript"/>
                    </w:rPr>
                    <w:drawing>
                      <wp:inline distT="0" distB="0" distL="0" distR="0" wp14:anchorId="1E4BD5A6" wp14:editId="5E4FFCF2">
                        <wp:extent cx="111125" cy="222885"/>
                        <wp:effectExtent l="0" t="0" r="0" b="0"/>
                        <wp:docPr id="5" name="Picture 5" descr="http://abc.vvsu.ru/Books/Teh_diag/obj.files/image09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abc.vvsu.ru/Books/Teh_diag/obj.files/image09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1125" cy="22288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3"/>
                    <w:gridCol w:w="5313"/>
                  </w:tblGrid>
                  <w:tr w:rsidR="00B70A8D" w:rsidRPr="00B70A8D">
                    <w:tc>
                      <w:tcPr>
                        <w:tcW w:w="106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before="60" w:after="60" w:line="240" w:lineRule="auto"/>
                          <w:ind w:right="-495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Ç 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vertAlign w:val="subscript"/>
                          </w:rPr>
                          <w:drawing>
                            <wp:inline distT="0" distB="0" distL="0" distR="0" wp14:anchorId="3DA7C03B" wp14:editId="67867BFC">
                              <wp:extent cx="191135" cy="715645"/>
                              <wp:effectExtent l="0" t="0" r="0" b="8255"/>
                              <wp:docPr id="4" name="Picture 4" descr="http://abc.vvsu.ru/Books/Teh_diag/obj.files/image099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abc.vvsu.ru/Books/Teh_diag/obj.files/image099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715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313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если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 = х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или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,</w:t>
                        </w:r>
                      </w:p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если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=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х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,</w:t>
                        </w:r>
                      </w:p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неопределено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в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остальных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случаях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т.е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.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равно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Æ</w:t>
                        </w:r>
                      </w:p>
                    </w:tc>
                  </w:tr>
                </w:tbl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хотя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координаты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результат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определен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то 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А и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считается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пустым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Каждому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логическому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три набора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используются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: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вырожденные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Вырожденные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позволяют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представить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таблицу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истинности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сокращенном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этих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кубах входам, не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влияющим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присваивается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 х”.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На рис. 4.4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И, ИЛИ-НЕ, М2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показаны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М2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несущественных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поэтому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покрытие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полностью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повторяет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полную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таблицу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истинности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00"/>
                    <w:gridCol w:w="5070"/>
                  </w:tblGrid>
                  <w:tr w:rsidR="00B70A8D" w:rsidRPr="00B70A8D">
                    <w:trPr>
                      <w:gridAfter w:val="1"/>
                      <w:trHeight w:val="75"/>
                      <w:tblCellSpacing w:w="0" w:type="dxa"/>
                    </w:trPr>
                    <w:tc>
                      <w:tcPr>
                        <w:tcW w:w="600" w:type="dxa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8"/>
                            <w:szCs w:val="18"/>
                          </w:rPr>
                        </w:pPr>
                      </w:p>
                    </w:tc>
                  </w:tr>
                  <w:tr w:rsidR="00B70A8D" w:rsidRPr="00B70A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2D4F699C" wp14:editId="5A935133">
                              <wp:extent cx="3212465" cy="2059305"/>
                              <wp:effectExtent l="0" t="0" r="6985" b="0"/>
                              <wp:docPr id="3" name="Picture 3" descr="http://abc.vvsu.ru/Books/Teh_diag/obj.files/image100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://abc.vvsu.ru/Books/Teh_diag/obj.files/image100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12465" cy="20593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70A8D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 w:type="textWrapping" w:clear="all"/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позволяют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указать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ситуации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когда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сигнал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некотором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группе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использовать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пары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вырожденных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А и В, таких,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координате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А и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различны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паре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 G =(g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1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,...,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g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n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определенный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образом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tbl>
                  <w:tblPr>
                    <w:tblW w:w="0" w:type="auto"/>
                    <w:tblInd w:w="1204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34"/>
                    <w:gridCol w:w="4038"/>
                  </w:tblGrid>
                  <w:tr w:rsidR="00B70A8D" w:rsidRPr="00B70A8D">
                    <w:tc>
                      <w:tcPr>
                        <w:tcW w:w="1134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before="60" w:after="60" w:line="240" w:lineRule="auto"/>
                          <w:ind w:right="-212"/>
                          <w:jc w:val="right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g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=</w:t>
                        </w:r>
                        <w:r>
                          <w:rPr>
                            <w:rFonts w:ascii="Arial" w:eastAsia="Times New Roman" w:hAnsi="Arial" w:cs="Arial"/>
                            <w:noProof/>
                            <w:sz w:val="20"/>
                            <w:szCs w:val="20"/>
                            <w:vertAlign w:val="subscript"/>
                          </w:rPr>
                          <w:drawing>
                            <wp:inline distT="0" distB="0" distL="0" distR="0" wp14:anchorId="609EEEF6" wp14:editId="4C42409D">
                              <wp:extent cx="191135" cy="715645"/>
                              <wp:effectExtent l="0" t="0" r="0" b="8255"/>
                              <wp:docPr id="2" name="Picture 2" descr="http://abc.vvsu.ru/Books/Teh_diag/obj.files/image102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 descr="http://abc.vvsu.ru/Books/Teh_diag/obj.files/image102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1135" cy="7156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038" w:type="dxa"/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если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 = 1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или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= 0,</w:t>
                        </w:r>
                      </w:p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d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,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если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= 0 и 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= 1,</w:t>
                        </w:r>
                      </w:p>
                      <w:p w:rsidR="00B70A8D" w:rsidRPr="00B70A8D" w:rsidRDefault="00B70A8D" w:rsidP="00B70A8D">
                        <w:pPr>
                          <w:spacing w:before="60" w:after="60" w:line="240" w:lineRule="auto"/>
                          <w:jc w:val="both"/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a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Ç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b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i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  <w:vertAlign w:val="subscript"/>
                          </w:rPr>
                          <w:t>  </w:t>
                        </w:r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в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остальных</w:t>
                        </w:r>
                        <w:proofErr w:type="spellEnd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70A8D">
                          <w:rPr>
                            <w:rFonts w:ascii="Arial" w:eastAsia="Times New Roman" w:hAnsi="Arial" w:cs="Arial"/>
                            <w:sz w:val="20"/>
                            <w:szCs w:val="20"/>
                          </w:rPr>
                          <w:t>случаях</w:t>
                        </w:r>
                        <w:proofErr w:type="spellEnd"/>
                      </w:p>
                    </w:tc>
                  </w:tr>
                </w:tbl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Сравнивая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подобным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образом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каждую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пару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вырожденных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множество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lastRenderedPageBreak/>
                    <w:t xml:space="preserve">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них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координата и по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крайней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мере одна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Например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первых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двух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(рис. 4.4 (а))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даст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1111Ç 0хх0 = d11d.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Полученный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показывает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фиксации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“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единицах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”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второго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третьего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сигнал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первом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входе.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делает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удобным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использование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активизированного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результате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достаточны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решении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задачи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формирования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тестового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воздействия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одного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Однако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общем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случае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все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получить,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символы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“х”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заменять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0 и 1.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рис. 4.4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a) (1, 1,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(1, d, 1, d),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1, 1, d), (1,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(d, 1,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(1,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(d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);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б) (0, 0,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(0, d,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), (0,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(d, 0,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(0,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d),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(d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0, d), (0,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);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в) (0,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), (1,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(1,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0,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),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1, d).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координаты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сопоставленные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входам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имеют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наблюдается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иногда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говорят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проявляется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 по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Координата,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сопоставленная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исправном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состоянии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“1” 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если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исправном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состоянии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“0”.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существовать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 –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Например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, “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º0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1”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М2 (рис. 4.4 (в))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соответствует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два d-куба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 (1 0 d) и (1 1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Ниже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табл.4.6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показаны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константного типа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представленного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рис. 4.4 (а):</w:t>
                  </w:r>
                </w:p>
                <w:p w:rsidR="00B70A8D" w:rsidRPr="00B70A8D" w:rsidRDefault="00B70A8D" w:rsidP="00B70A8D">
                  <w:pPr>
                    <w:keepNext/>
                    <w:spacing w:before="40" w:after="40" w:line="240" w:lineRule="auto"/>
                    <w:jc w:val="right"/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>Таблица</w:t>
                  </w:r>
                  <w:proofErr w:type="spellEnd"/>
                  <w:r w:rsidRPr="00B70A8D">
                    <w:rPr>
                      <w:rFonts w:ascii="Arial" w:eastAsia="Times New Roman" w:hAnsi="Arial" w:cs="Arial"/>
                      <w:color w:val="000000"/>
                      <w:sz w:val="20"/>
                      <w:szCs w:val="20"/>
                    </w:rPr>
                    <w:t xml:space="preserve"> 4.6</w:t>
                  </w:r>
                </w:p>
                <w:tbl>
                  <w:tblPr>
                    <w:tblW w:w="0" w:type="auto"/>
                    <w:tblInd w:w="637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61"/>
                    <w:gridCol w:w="2715"/>
                  </w:tblGrid>
                  <w:tr w:rsidR="00B70A8D" w:rsidRPr="00B70A8D">
                    <w:tc>
                      <w:tcPr>
                        <w:tcW w:w="1961" w:type="dxa"/>
                        <w:tcBorders>
                          <w:top w:val="single" w:sz="12" w:space="0" w:color="auto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Неисправность</w:t>
                        </w:r>
                        <w:proofErr w:type="spellEnd"/>
                      </w:p>
                    </w:tc>
                    <w:tc>
                      <w:tcPr>
                        <w:tcW w:w="2715" w:type="dxa"/>
                        <w:tcBorders>
                          <w:top w:val="single" w:sz="12" w:space="0" w:color="auto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d-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кубы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неисправностей</w:t>
                        </w:r>
                        <w:proofErr w:type="spellEnd"/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single" w:sz="6" w:space="0" w:color="auto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0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 1 1 d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0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0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0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single" w:sz="6" w:space="0" w:color="auto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1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1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0 1 1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single" w:sz="6" w:space="0" w:color="auto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1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2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single" w:sz="6" w:space="0" w:color="auto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 0 1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single" w:sz="6" w:space="0" w:color="auto"/>
                          <w:left w:val="single" w:sz="12" w:space="0" w:color="auto"/>
                          <w:bottom w:val="single" w:sz="6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1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3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single" w:sz="6" w:space="0" w:color="auto"/>
                          <w:left w:val="single" w:sz="6" w:space="0" w:color="auto"/>
                          <w:bottom w:val="single" w:sz="6" w:space="0" w:color="auto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1 1 0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1 на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линии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4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0 x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x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nil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nil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x 0 x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  <w:tr w:rsidR="00B70A8D" w:rsidRPr="00B70A8D">
                    <w:tc>
                      <w:tcPr>
                        <w:tcW w:w="1961" w:type="dxa"/>
                        <w:tcBorders>
                          <w:top w:val="nil"/>
                          <w:left w:val="single" w:sz="12" w:space="0" w:color="auto"/>
                          <w:bottom w:val="single" w:sz="12" w:space="0" w:color="auto"/>
                          <w:right w:val="nil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2715" w:type="dxa"/>
                        <w:tcBorders>
                          <w:top w:val="nil"/>
                          <w:left w:val="single" w:sz="6" w:space="0" w:color="auto"/>
                          <w:bottom w:val="single" w:sz="12" w:space="0" w:color="auto"/>
                          <w:right w:val="single" w:sz="12" w:space="0" w:color="auto"/>
                        </w:tcBorders>
                        <w:tcMar>
                          <w:top w:w="0" w:type="dxa"/>
                          <w:left w:w="70" w:type="dxa"/>
                          <w:bottom w:w="0" w:type="dxa"/>
                          <w:right w:w="70" w:type="dxa"/>
                        </w:tcMar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x </w:t>
                        </w:r>
                        <w:proofErr w:type="spellStart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x</w:t>
                        </w:r>
                        <w:proofErr w:type="spellEnd"/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 xml:space="preserve"> 0 d</w:t>
                        </w:r>
                        <w:r w:rsidRPr="00B70A8D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  <w:vertAlign w:val="superscript"/>
                          </w:rPr>
                          <w:t>*</w:t>
                        </w:r>
                      </w:p>
                    </w:tc>
                  </w:tr>
                </w:tbl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таблицы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видно,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типа “0”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имеют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один 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же d-куб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а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“1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4”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существует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d-куба.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d-алгоритм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предполагает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тестовое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воздействие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отдельно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каждой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Совокупность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наборов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образует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множества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допустимых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выделить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следующие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основные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построения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тестового набора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проверки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1.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Выбирается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2.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Активизируются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пути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выбранной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контролируемому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применяется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d-кубами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путей от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прямая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фаза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3.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Выполняется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п. 2 d-куба с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сингулярными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кубами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остальных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целью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обеспечения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условий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активизации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d-кубом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фаза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Пример.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Не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обходимо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определить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тестовое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воздействие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“= 0”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втором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входе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8)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D3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рис.4.5.</w:t>
                  </w:r>
                </w:p>
                <w:tbl>
                  <w:tblPr>
                    <w:tblpPr w:leftFromText="45" w:rightFromText="45" w:vertAnchor="text"/>
                    <w:tblW w:w="0" w:type="auto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170"/>
                    <w:gridCol w:w="3944"/>
                  </w:tblGrid>
                  <w:tr w:rsidR="00B70A8D" w:rsidRPr="00B70A8D">
                    <w:trPr>
                      <w:gridAfter w:val="1"/>
                      <w:trHeight w:val="45"/>
                      <w:tblCellSpacing w:w="0" w:type="dxa"/>
                    </w:trPr>
                    <w:tc>
                      <w:tcPr>
                        <w:tcW w:w="1170" w:type="dxa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4"/>
                            <w:szCs w:val="18"/>
                          </w:rPr>
                        </w:pPr>
                      </w:p>
                    </w:tc>
                  </w:tr>
                  <w:tr w:rsidR="00B70A8D" w:rsidRPr="00B70A8D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0A8D" w:rsidRPr="00B70A8D" w:rsidRDefault="00B70A8D" w:rsidP="00B70A8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24B59A6F" wp14:editId="65F24E2B">
                              <wp:extent cx="2504440" cy="1558290"/>
                              <wp:effectExtent l="0" t="0" r="0" b="0"/>
                              <wp:docPr id="1" name="Picture 1" descr="http://abc.vvsu.ru/Books/Teh_diag/obj.files/image103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://abc.vvsu.ru/Books/Teh_diag/obj.files/image103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504440" cy="155829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</w:pPr>
                  <w:r w:rsidRPr="00B70A8D">
                    <w:rPr>
                      <w:rFonts w:ascii="Arial" w:eastAsia="Times New Roman" w:hAnsi="Arial" w:cs="Arial"/>
                      <w:color w:val="000000"/>
                      <w:sz w:val="18"/>
                      <w:szCs w:val="18"/>
                    </w:rPr>
                    <w:br w:type="textWrapping" w:clear="all"/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Прежде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начать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подготовить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исходную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информацию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понадобится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исполнении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и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которые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приведены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ранее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также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d-куб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вид(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верхней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строке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номера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7 8 9 11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 1 0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существует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первоначально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любой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них.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рассматриваемой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пронумеровано 12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Удобно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вести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вычисления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представляя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виде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12-и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разрядных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векторов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подготовки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исходной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информации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перейти к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операциям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1. d-куб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"= 0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втором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D3"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вид (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верхней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строке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номера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):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            1 2 3 4 5 6 7 8 9 10 11 12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СО =   х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 1 0  х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 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х.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2.     От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D3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только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один путь к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(через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D4).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Выполняем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куба СО с d-кубом С1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D4,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имеющим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символ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третьем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входе: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6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3.      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               1 2 3 4 5 6 7 8 9 10 11 12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СО =      х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0 1 0  х   d 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 С1 =      x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 1 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 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  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----------------------------------------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  C2 =    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 1 0 1 0  1 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Появление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результирующем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символа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координате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(то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линии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12)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свидетельствует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об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окончании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прямой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фазы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4.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Обратная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фаза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рассматриваемого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будет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состоять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последовательном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куба С2 с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сингулярными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кубами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D1 и D2.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D1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необходимо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его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1, так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С2 координата 8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определена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            1 2 3 4 5 6 7 8 9 10 11 12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  С2 =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0 1 0 1 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С3 =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1 1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---------------------------------------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  C4 =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1 1 1 0 1 0 1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сингулярных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элемента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D2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выбрать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котором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выходе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1, так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как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С4 координата 6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1. Таких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несколько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Первоначально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взять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любой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            1 2 3 4 5 6 7 8 9 10 11 12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    С4 =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1 1 1 0 1 0 1 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 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    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  С5 = 0 1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1 x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   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x</w:t>
                  </w:r>
                  <w:proofErr w:type="spellEnd"/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----------------------------------------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      С6 = 0 1 1 1 1 1 0 1 0 1     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 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d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perscript"/>
                    </w:rPr>
                    <w:t>*</w:t>
                  </w: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  <w:vertAlign w:val="subscript"/>
                    </w:rPr>
                    <w:t>,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полученном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С6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неопределенных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(то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равных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“x”) координат.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Поэтому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алгоритма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закончено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На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последнем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шаге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по координатам 1-5, 7, 9, 10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определяем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входной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набор,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проверяющий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заданную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: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a b c e f r s k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0 1 1 1 1 0 0 1.</w:t>
                  </w:r>
                </w:p>
                <w:p w:rsidR="00B70A8D" w:rsidRPr="00B70A8D" w:rsidRDefault="00B70A8D" w:rsidP="00B70A8D">
                  <w:pPr>
                    <w:spacing w:after="0" w:line="240" w:lineRule="auto"/>
                    <w:ind w:firstLine="425"/>
                    <w:jc w:val="both"/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Возможно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при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выполнении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п. 2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п. 3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результате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будет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"пусто".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Тогда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следует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взять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другой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куб для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пересечения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такой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существует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).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Если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все же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после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перебора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(в том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числе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всех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вариантов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d-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кубов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рассматриваемой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неисправности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) не удалось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избавиться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от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значения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"пусто", то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это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означает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что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данная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неисправность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не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может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быть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проверена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, то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есть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в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схеме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имеется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избыточность</w:t>
                  </w:r>
                  <w:proofErr w:type="spellEnd"/>
                  <w:r w:rsidRPr="00B70A8D">
                    <w:rPr>
                      <w:rFonts w:ascii="Times New Roman" w:eastAsia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</w:tr>
          </w:tbl>
          <w:p w:rsidR="00B70A8D" w:rsidRPr="00B70A8D" w:rsidRDefault="00B70A8D" w:rsidP="00B70A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B70A8D" w:rsidRPr="00B70A8D" w:rsidRDefault="00B70A8D" w:rsidP="00B70A8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:rsidR="00D055E4" w:rsidRPr="00E244D6" w:rsidRDefault="00D055E4" w:rsidP="00E244D6">
      <w:pPr>
        <w:shd w:val="clear" w:color="auto" w:fill="FFFFFF"/>
        <w:spacing w:after="0" w:line="240" w:lineRule="auto"/>
        <w:rPr>
          <w:lang w:val="en-US"/>
        </w:rPr>
      </w:pPr>
      <w:bookmarkStart w:id="1" w:name="_GoBack"/>
      <w:bookmarkEnd w:id="1"/>
    </w:p>
    <w:sectPr w:rsidR="00D055E4" w:rsidRPr="00E244D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A8D"/>
    <w:rsid w:val="00003F6E"/>
    <w:rsid w:val="00037B24"/>
    <w:rsid w:val="0008474D"/>
    <w:rsid w:val="00140E15"/>
    <w:rsid w:val="001B4848"/>
    <w:rsid w:val="0024311E"/>
    <w:rsid w:val="002469BB"/>
    <w:rsid w:val="002C464E"/>
    <w:rsid w:val="002E163C"/>
    <w:rsid w:val="0033019C"/>
    <w:rsid w:val="00353F1E"/>
    <w:rsid w:val="003668FE"/>
    <w:rsid w:val="003C5C88"/>
    <w:rsid w:val="0043536C"/>
    <w:rsid w:val="00617280"/>
    <w:rsid w:val="006E7718"/>
    <w:rsid w:val="00704B0E"/>
    <w:rsid w:val="00757BA9"/>
    <w:rsid w:val="007D4251"/>
    <w:rsid w:val="0085484A"/>
    <w:rsid w:val="008C3B5E"/>
    <w:rsid w:val="008C5CC3"/>
    <w:rsid w:val="008D6711"/>
    <w:rsid w:val="008D7F30"/>
    <w:rsid w:val="00995803"/>
    <w:rsid w:val="009C1EA3"/>
    <w:rsid w:val="00A11A26"/>
    <w:rsid w:val="00A15DDC"/>
    <w:rsid w:val="00A92B92"/>
    <w:rsid w:val="00AC551F"/>
    <w:rsid w:val="00AE6AC2"/>
    <w:rsid w:val="00B141D7"/>
    <w:rsid w:val="00B70A8D"/>
    <w:rsid w:val="00B9586C"/>
    <w:rsid w:val="00BB25B2"/>
    <w:rsid w:val="00BF473E"/>
    <w:rsid w:val="00D055E4"/>
    <w:rsid w:val="00D245E4"/>
    <w:rsid w:val="00DB0CF7"/>
    <w:rsid w:val="00DE65AC"/>
    <w:rsid w:val="00DF2BD5"/>
    <w:rsid w:val="00E244D6"/>
    <w:rsid w:val="00E65832"/>
    <w:rsid w:val="00ED323A"/>
    <w:rsid w:val="00F47EB6"/>
    <w:rsid w:val="00FB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A8D"/>
  </w:style>
  <w:style w:type="character" w:styleId="Hyperlink">
    <w:name w:val="Hyperlink"/>
    <w:basedOn w:val="DefaultParagraphFont"/>
    <w:uiPriority w:val="99"/>
    <w:semiHidden/>
    <w:unhideWhenUsed/>
    <w:rsid w:val="00B70A8D"/>
    <w:rPr>
      <w:color w:val="0000FF"/>
      <w:u w:val="single"/>
    </w:rPr>
  </w:style>
  <w:style w:type="paragraph" w:customStyle="1" w:styleId="a5">
    <w:name w:val="a5"/>
    <w:basedOn w:val="Normal"/>
    <w:rsid w:val="00B7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a4"/>
    <w:basedOn w:val="Normal"/>
    <w:rsid w:val="00B7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70A8D"/>
  </w:style>
  <w:style w:type="character" w:styleId="Hyperlink">
    <w:name w:val="Hyperlink"/>
    <w:basedOn w:val="DefaultParagraphFont"/>
    <w:uiPriority w:val="99"/>
    <w:semiHidden/>
    <w:unhideWhenUsed/>
    <w:rsid w:val="00B70A8D"/>
    <w:rPr>
      <w:color w:val="0000FF"/>
      <w:u w:val="single"/>
    </w:rPr>
  </w:style>
  <w:style w:type="paragraph" w:customStyle="1" w:styleId="a5">
    <w:name w:val="a5"/>
    <w:basedOn w:val="Normal"/>
    <w:rsid w:val="00B7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4">
    <w:name w:val="a4"/>
    <w:basedOn w:val="Normal"/>
    <w:rsid w:val="00B70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A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6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410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9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81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50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4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85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2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8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9687602">
              <w:marLeft w:val="0"/>
              <w:marRight w:val="0"/>
              <w:marTop w:val="0"/>
              <w:marBottom w:val="0"/>
              <w:divBdr>
                <w:top w:val="single" w:sz="12" w:space="0" w:color="E0E0E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bc.vvsu.ru/Books/Teh_diag/page0009.as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bc.vvsu.ru/Books/Teh_diag/default.asp" TargetMode="External"/><Relationship Id="rId12" Type="http://schemas.openxmlformats.org/officeDocument/2006/relationships/image" Target="media/image4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bc.vvsu.ru/Books/Teh_diag/page0007.asp" TargetMode="External"/><Relationship Id="rId11" Type="http://schemas.openxmlformats.org/officeDocument/2006/relationships/image" Target="media/image3.gif"/><Relationship Id="rId5" Type="http://schemas.openxmlformats.org/officeDocument/2006/relationships/webSettings" Target="webSettings.xml"/><Relationship Id="rId10" Type="http://schemas.openxmlformats.org/officeDocument/2006/relationships/image" Target="media/image2.gif"/><Relationship Id="rId4" Type="http://schemas.openxmlformats.org/officeDocument/2006/relationships/settings" Target="setting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DD8B-4391-4C67-9B50-FA937860D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5543</Words>
  <Characters>3160</Characters>
  <Application>Microsoft Office Word</Application>
  <DocSecurity>0</DocSecurity>
  <Lines>26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kpi</Company>
  <LinksUpToDate>false</LinksUpToDate>
  <CharactersWithSpaces>8686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2garin</dc:creator>
  <cp:keywords/>
  <dc:description/>
  <cp:lastModifiedBy>2garin</cp:lastModifiedBy>
  <cp:revision>1</cp:revision>
  <cp:lastPrinted>2011-01-20T15:31:00Z</cp:lastPrinted>
  <dcterms:created xsi:type="dcterms:W3CDTF">2011-01-20T15:21:00Z</dcterms:created>
  <dcterms:modified xsi:type="dcterms:W3CDTF">2011-01-20T19:50:00Z</dcterms:modified>
</cp:coreProperties>
</file>