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58" w:rsidRPr="009615D2" w:rsidRDefault="00CE3A58" w:rsidP="00DB355D">
      <w:pPr>
        <w:pStyle w:val="Heading2"/>
        <w:numPr>
          <w:ilvl w:val="0"/>
          <w:numId w:val="0"/>
        </w:numPr>
        <w:spacing w:before="360" w:after="240"/>
        <w:rPr>
          <w:sz w:val="24"/>
        </w:rPr>
      </w:pPr>
      <w:bookmarkStart w:id="0" w:name="_Toc418935488"/>
      <w:r>
        <w:rPr>
          <w:caps w:val="0"/>
          <w:sz w:val="24"/>
        </w:rPr>
        <w:t xml:space="preserve">Метод таблиц истинности </w:t>
      </w:r>
      <w:bookmarkEnd w:id="0"/>
    </w:p>
    <w:p w:rsidR="00CE3A58" w:rsidRDefault="00CE3A58" w:rsidP="00CE3A58">
      <w:r>
        <w:t xml:space="preserve">Метод таблиц истинности относится к первой группе и, следовательно, использует моделирование ОД с неисправностями. </w:t>
      </w:r>
    </w:p>
    <w:p w:rsidR="00CE3A58" w:rsidRDefault="00CE3A58" w:rsidP="00CE3A58">
      <w:r>
        <w:t>При этом анализируются все из</w:t>
      </w:r>
      <w:r>
        <w:rPr>
          <w:noProof/>
        </w:rPr>
        <w:t xml:space="preserve"> </w:t>
      </w:r>
      <w:r w:rsidRPr="00FF622F">
        <w:rPr>
          <w:noProof/>
          <w:position w:val="-4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9pt;height:15.05pt" o:ole="">
            <v:imagedata r:id="rId7" o:title=""/>
          </v:shape>
          <o:OLEObject Type="Embed" ProgID="Equation.3" ShapeID="_x0000_i1025" DrawAspect="Content" ObjectID="_1356967505" r:id="rId8"/>
        </w:object>
      </w:r>
      <w:r>
        <w:t xml:space="preserve">входных наборов схемы, где </w:t>
      </w:r>
      <w:r w:rsidRPr="00FF622F">
        <w:rPr>
          <w:position w:val="-4"/>
        </w:rPr>
        <w:object w:dxaOrig="180" w:dyaOrig="180">
          <v:shape id="_x0000_i1026" type="#_x0000_t75" style="width:8.75pt;height:8.75pt" o:ole="">
            <v:imagedata r:id="rId9" o:title=""/>
          </v:shape>
          <o:OLEObject Type="Embed" ProgID="Equation.3" ShapeID="_x0000_i1026" DrawAspect="Content" ObjectID="_1356967506" r:id="rId10"/>
        </w:object>
      </w:r>
      <w:r>
        <w:rPr>
          <w:i/>
          <w:noProof/>
        </w:rPr>
        <w:t>—</w:t>
      </w:r>
      <w:r>
        <w:t xml:space="preserve"> число входов ОД. </w:t>
      </w:r>
    </w:p>
    <w:p w:rsidR="00CE3A58" w:rsidRPr="006D1EA8" w:rsidRDefault="00CE3A58" w:rsidP="00CE3A58">
      <w:r>
        <w:t>После определения классов эквивалентных неисправностей выполняется модели</w:t>
      </w:r>
      <w:bookmarkStart w:id="1" w:name="OCRUncertain063"/>
      <w:r>
        <w:t>рова</w:t>
      </w:r>
      <w:r>
        <w:softHyphen/>
        <w:t>ние</w:t>
      </w:r>
      <w:bookmarkEnd w:id="1"/>
      <w:r>
        <w:t xml:space="preserve">, результатом которого является таблица функций различения (ТФР), задающая отношение </w:t>
      </w:r>
      <w:r w:rsidRPr="00FF622F">
        <w:rPr>
          <w:position w:val="-6"/>
        </w:rPr>
        <w:object w:dxaOrig="180" w:dyaOrig="200">
          <v:shape id="_x0000_i1027" type="#_x0000_t75" style="width:8.75pt;height:9.4pt" o:ole="">
            <v:imagedata r:id="rId11" o:title=""/>
          </v:shape>
          <o:OLEObject Type="Embed" ProgID="Equation.3" ShapeID="_x0000_i1027" DrawAspect="Content" ObjectID="_1356967507" r:id="rId12"/>
        </w:object>
      </w:r>
      <w:r>
        <w:t xml:space="preserve">. Затем находится минимальное покрытие этой таблицы. </w:t>
      </w:r>
    </w:p>
    <w:p w:rsidR="00CE3A58" w:rsidRDefault="00CE3A58" w:rsidP="00CE3A58">
      <w:r>
        <w:t>Ниже приведен пример вычисления теста для схемы, изображенной на рис.5.3. Решение задачи определения классов эквивалентных неисправностей представлено в виде табл.5.2.</w:t>
      </w:r>
    </w:p>
    <w:p w:rsidR="00CE3A58" w:rsidRDefault="00CE3A58" w:rsidP="00DB355D">
      <w:pPr>
        <w:framePr w:w="3187" w:h="4596" w:hRule="exact" w:hSpace="181" w:wrap="auto" w:vAnchor="text" w:hAnchor="page" w:x="1874" w:y="53"/>
      </w:pPr>
      <w:r>
        <w:object w:dxaOrig="3835" w:dyaOrig="2415">
          <v:shape id="_x0000_i1028" type="#_x0000_t75" style="width:126.45pt;height:80.75pt" o:ole="">
            <v:imagedata r:id="rId13" o:title=""/>
          </v:shape>
          <o:OLEObject Type="Embed" ProgID="Visio.Drawing.11" ShapeID="_x0000_i1028" DrawAspect="Content" ObjectID="_1356967508" r:id="rId14"/>
        </w:object>
      </w:r>
    </w:p>
    <w:p w:rsidR="00CE3A58" w:rsidRDefault="00CE3A58" w:rsidP="00DB355D">
      <w:pPr>
        <w:framePr w:w="3187" w:h="4596" w:hRule="exact" w:hSpace="181" w:wrap="auto" w:vAnchor="text" w:hAnchor="page" w:x="1874" w:y="53"/>
        <w:jc w:val="center"/>
        <w:rPr>
          <w:sz w:val="1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147"/>
        <w:gridCol w:w="1147"/>
        <w:gridCol w:w="491"/>
      </w:tblGrid>
      <w:tr w:rsidR="00CE3A58" w:rsidTr="00DB355D">
        <w:trPr>
          <w:trHeight w:val="260"/>
        </w:trPr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Набор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а </w:t>
            </w:r>
            <w:r>
              <w:rPr>
                <w:sz w:val="16"/>
                <w:lang w:val="en-US"/>
              </w:rPr>
              <w:t>b</w:t>
            </w:r>
            <w:r>
              <w:rPr>
                <w:sz w:val="16"/>
              </w:rPr>
              <w:t xml:space="preserve"> с</w:t>
            </w:r>
          </w:p>
        </w:tc>
        <w:tc>
          <w:tcPr>
            <w:tcW w:w="49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</w:t>
            </w:r>
          </w:p>
        </w:tc>
      </w:tr>
      <w:tr w:rsidR="00CE3A58" w:rsidTr="00DB355D">
        <w:trPr>
          <w:trHeight w:val="260"/>
        </w:trPr>
        <w:tc>
          <w:tcPr>
            <w:tcW w:w="1147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T</w:t>
            </w:r>
            <w:r>
              <w:rPr>
                <w:sz w:val="16"/>
                <w:vertAlign w:val="subscript"/>
                <w:lang w:val="en-US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000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0</w:t>
            </w:r>
          </w:p>
        </w:tc>
      </w:tr>
      <w:tr w:rsidR="00CE3A58" w:rsidTr="00DB355D">
        <w:trPr>
          <w:trHeight w:val="260"/>
        </w:trPr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T</w:t>
            </w:r>
            <w:r>
              <w:rPr>
                <w:sz w:val="16"/>
                <w:vertAlign w:val="subscript"/>
                <w:lang w:val="en-US"/>
              </w:rPr>
              <w:t>1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001</w:t>
            </w:r>
          </w:p>
        </w:tc>
        <w:tc>
          <w:tcPr>
            <w:tcW w:w="49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P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  <w:lang w:val="en-US"/>
              </w:rPr>
            </w:pPr>
            <w:r>
              <w:rPr>
                <w:noProof/>
                <w:sz w:val="16"/>
                <w:lang w:val="en-US"/>
              </w:rPr>
              <w:t>1</w:t>
            </w:r>
          </w:p>
        </w:tc>
      </w:tr>
      <w:tr w:rsidR="00CE3A58" w:rsidTr="00DB355D">
        <w:trPr>
          <w:trHeight w:val="260"/>
        </w:trPr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mallCaps/>
                <w:sz w:val="16"/>
                <w:lang w:val="en-US"/>
              </w:rPr>
            </w:pPr>
            <w:r>
              <w:rPr>
                <w:smallCaps/>
                <w:sz w:val="16"/>
                <w:lang w:val="en-US"/>
              </w:rPr>
              <w:t>T</w:t>
            </w:r>
            <w:r>
              <w:rPr>
                <w:smallCaps/>
                <w:sz w:val="16"/>
                <w:vertAlign w:val="subscript"/>
                <w:lang w:val="en-US"/>
              </w:rPr>
              <w:t>2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010</w:t>
            </w:r>
          </w:p>
        </w:tc>
        <w:tc>
          <w:tcPr>
            <w:tcW w:w="49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0</w:t>
            </w:r>
          </w:p>
        </w:tc>
      </w:tr>
      <w:tr w:rsidR="00CE3A58" w:rsidTr="00DB355D">
        <w:trPr>
          <w:trHeight w:val="260"/>
        </w:trPr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T</w:t>
            </w:r>
            <w:r>
              <w:rPr>
                <w:sz w:val="16"/>
                <w:vertAlign w:val="subscript"/>
                <w:lang w:val="en-US"/>
              </w:rPr>
              <w:t>3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011</w:t>
            </w:r>
          </w:p>
        </w:tc>
        <w:tc>
          <w:tcPr>
            <w:tcW w:w="49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P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  <w:lang w:val="en-US"/>
              </w:rPr>
            </w:pPr>
            <w:r>
              <w:rPr>
                <w:noProof/>
                <w:sz w:val="16"/>
                <w:lang w:val="en-US"/>
              </w:rPr>
              <w:t>0</w:t>
            </w:r>
          </w:p>
        </w:tc>
      </w:tr>
      <w:tr w:rsidR="00CE3A58" w:rsidTr="00DB355D">
        <w:trPr>
          <w:trHeight w:val="260"/>
        </w:trPr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</w:t>
            </w:r>
            <w:r>
              <w:rPr>
                <w:sz w:val="16"/>
                <w:vertAlign w:val="subscript"/>
                <w:lang w:val="en-US"/>
              </w:rPr>
              <w:t>4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r>
              <w:rPr>
                <w:sz w:val="16"/>
                <w:lang w:val="en-US"/>
              </w:rPr>
              <w:t>100</w:t>
            </w:r>
          </w:p>
        </w:tc>
        <w:tc>
          <w:tcPr>
            <w:tcW w:w="49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P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  <w:lang w:val="en-US"/>
              </w:rPr>
            </w:pPr>
            <w:r>
              <w:rPr>
                <w:noProof/>
                <w:sz w:val="16"/>
                <w:lang w:val="en-US"/>
              </w:rPr>
              <w:t>0</w:t>
            </w:r>
          </w:p>
        </w:tc>
      </w:tr>
      <w:tr w:rsidR="00CE3A58" w:rsidTr="00DB355D">
        <w:trPr>
          <w:trHeight w:val="260"/>
        </w:trPr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mallCaps/>
                <w:sz w:val="16"/>
                <w:lang w:val="en-US"/>
              </w:rPr>
            </w:pPr>
            <w:r>
              <w:rPr>
                <w:smallCaps/>
                <w:sz w:val="16"/>
                <w:lang w:val="en-US"/>
              </w:rPr>
              <w:t>T</w:t>
            </w:r>
            <w:r>
              <w:rPr>
                <w:smallCaps/>
                <w:sz w:val="16"/>
                <w:vertAlign w:val="subscript"/>
                <w:lang w:val="en-US"/>
              </w:rPr>
              <w:t>5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101</w:t>
            </w:r>
          </w:p>
        </w:tc>
        <w:tc>
          <w:tcPr>
            <w:tcW w:w="49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bookmarkStart w:id="2" w:name="OCRUncertain121"/>
            <w:r>
              <w:rPr>
                <w:noProof/>
                <w:sz w:val="16"/>
              </w:rPr>
              <w:t>1</w:t>
            </w:r>
            <w:bookmarkEnd w:id="2"/>
          </w:p>
        </w:tc>
      </w:tr>
      <w:tr w:rsidR="00CE3A58" w:rsidTr="00DB355D">
        <w:trPr>
          <w:trHeight w:val="260"/>
        </w:trPr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</w:t>
            </w:r>
            <w:r>
              <w:rPr>
                <w:sz w:val="16"/>
                <w:vertAlign w:val="subscript"/>
                <w:lang w:val="en-US"/>
              </w:rPr>
              <w:t>6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110</w:t>
            </w:r>
          </w:p>
        </w:tc>
        <w:tc>
          <w:tcPr>
            <w:tcW w:w="49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P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  <w:lang w:val="en-US"/>
              </w:rPr>
            </w:pPr>
            <w:r>
              <w:rPr>
                <w:noProof/>
                <w:sz w:val="16"/>
                <w:lang w:val="en-US"/>
              </w:rPr>
              <w:t>1</w:t>
            </w:r>
          </w:p>
        </w:tc>
      </w:tr>
      <w:tr w:rsidR="00CE3A58" w:rsidTr="00DB355D">
        <w:trPr>
          <w:trHeight w:val="260"/>
        </w:trPr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</w:t>
            </w:r>
            <w:r>
              <w:rPr>
                <w:sz w:val="16"/>
                <w:vertAlign w:val="subscript"/>
                <w:lang w:val="en-US"/>
              </w:rPr>
              <w:t>7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111</w:t>
            </w:r>
          </w:p>
        </w:tc>
        <w:tc>
          <w:tcPr>
            <w:tcW w:w="49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1</w:t>
            </w:r>
          </w:p>
        </w:tc>
      </w:tr>
    </w:tbl>
    <w:p w:rsidR="00CE3A58" w:rsidRDefault="00CE3A58" w:rsidP="00DB355D">
      <w:pPr>
        <w:framePr w:w="3187" w:h="4596" w:hRule="exact" w:hSpace="181" w:wrap="auto" w:vAnchor="text" w:hAnchor="page" w:x="1874" w:y="53"/>
        <w:jc w:val="center"/>
        <w:rPr>
          <w:b/>
          <w:sz w:val="16"/>
        </w:rPr>
      </w:pPr>
    </w:p>
    <w:p w:rsidR="00CE3A58" w:rsidRDefault="00CE3A58" w:rsidP="00DB355D">
      <w:pPr>
        <w:framePr w:w="3187" w:h="4596" w:hRule="exact" w:hSpace="181" w:wrap="auto" w:vAnchor="text" w:hAnchor="page" w:x="1874" w:y="53"/>
        <w:jc w:val="center"/>
        <w:rPr>
          <w:b/>
          <w:sz w:val="16"/>
        </w:rPr>
      </w:pPr>
      <w:r>
        <w:rPr>
          <w:b/>
          <w:sz w:val="16"/>
        </w:rPr>
        <w:t>Рис.5.3.</w:t>
      </w:r>
    </w:p>
    <w:p w:rsidR="00CE3A58" w:rsidRDefault="00CE3A58" w:rsidP="00CE3A58">
      <w:pPr>
        <w:framePr w:w="3141" w:hSpace="181" w:wrap="auto" w:vAnchor="text" w:hAnchor="page" w:x="5593" w:y="190"/>
        <w:jc w:val="right"/>
        <w:rPr>
          <w:b/>
          <w:sz w:val="18"/>
        </w:rPr>
      </w:pPr>
      <w:r>
        <w:rPr>
          <w:b/>
          <w:sz w:val="18"/>
        </w:rPr>
        <w:t>Таблица 5.3.</w:t>
      </w:r>
    </w:p>
    <w:p w:rsidR="00CE3A58" w:rsidRDefault="00CE3A58" w:rsidP="00CE3A58">
      <w:pPr>
        <w:pStyle w:val="spase"/>
        <w:framePr w:w="3141" w:hSpace="181" w:wrap="auto" w:vAnchor="text" w:hAnchor="page" w:x="5593" w:y="190"/>
      </w:pPr>
    </w:p>
    <w:tbl>
      <w:tblPr>
        <w:tblW w:w="0" w:type="auto"/>
        <w:tblLayout w:type="fixed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CE3A58" w:rsidTr="006E13AA">
        <w:tc>
          <w:tcPr>
            <w:tcW w:w="2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</w:p>
        </w:tc>
        <w:tc>
          <w:tcPr>
            <w:tcW w:w="2840" w:type="dxa"/>
            <w:gridSpan w:val="10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sz w:val="18"/>
              </w:rPr>
              <w:t>Классы неисправностей</w:t>
            </w:r>
          </w:p>
        </w:tc>
      </w:tr>
      <w:tr w:rsidR="00CE3A58" w:rsidTr="006E13AA">
        <w:tc>
          <w:tcPr>
            <w:tcW w:w="2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2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6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8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</w:t>
            </w:r>
          </w:p>
        </w:tc>
      </w:tr>
      <w:tr w:rsidR="00CE3A58" w:rsidTr="006E13AA">
        <w:tc>
          <w:tcPr>
            <w:tcW w:w="284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T</w:t>
            </w:r>
            <w:r>
              <w:rPr>
                <w:sz w:val="18"/>
                <w:vertAlign w:val="subscript"/>
                <w:lang w:val="en-US"/>
              </w:rPr>
              <w:t>0</w:t>
            </w: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</w:tr>
      <w:tr w:rsidR="00CE3A58" w:rsidTr="006E13AA"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T</w:t>
            </w:r>
            <w:r>
              <w:rPr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</w:tr>
      <w:tr w:rsidR="00CE3A58" w:rsidTr="006E13AA"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  <w:r>
              <w:rPr>
                <w:smallCaps/>
                <w:sz w:val="18"/>
                <w:lang w:val="en-US"/>
              </w:rPr>
              <w:t>T</w:t>
            </w:r>
            <w:r>
              <w:rPr>
                <w:smallCaps/>
                <w:sz w:val="18"/>
                <w:vertAlign w:val="subscript"/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</w:tr>
      <w:tr w:rsidR="00CE3A58" w:rsidTr="006E13AA"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T</w:t>
            </w:r>
            <w:r>
              <w:rPr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</w:tr>
      <w:tr w:rsidR="00CE3A58" w:rsidTr="006E13AA"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</w:t>
            </w:r>
            <w:r>
              <w:rPr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2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</w:tr>
      <w:tr w:rsidR="00CE3A58" w:rsidTr="006E13AA"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  <w:r>
              <w:rPr>
                <w:smallCaps/>
                <w:sz w:val="18"/>
                <w:lang w:val="en-US"/>
              </w:rPr>
              <w:t>T</w:t>
            </w:r>
            <w:r>
              <w:rPr>
                <w:smallCaps/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2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</w:tr>
      <w:tr w:rsidR="00CE3A58" w:rsidTr="006E13AA"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</w:t>
            </w:r>
            <w:r>
              <w:rPr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2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E3A58" w:rsidRPr="00DE7B77" w:rsidRDefault="00DE7B77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bookmarkStart w:id="3" w:name="OCRUncertain137"/>
            <w:r>
              <w:rPr>
                <w:noProof/>
                <w:sz w:val="18"/>
              </w:rPr>
              <w:t>1</w:t>
            </w:r>
            <w:bookmarkEnd w:id="3"/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</w:tr>
      <w:tr w:rsidR="00CE3A58" w:rsidTr="006E13AA"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</w:t>
            </w:r>
            <w:r>
              <w:rPr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284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</w:tr>
    </w:tbl>
    <w:p w:rsidR="00CE3A58" w:rsidRDefault="00CE3A58" w:rsidP="00CE3A58">
      <w:pPr>
        <w:pStyle w:val="spase"/>
        <w:framePr w:w="3141" w:hSpace="181" w:wrap="auto" w:vAnchor="text" w:hAnchor="page" w:x="5593" w:y="190"/>
        <w:rPr>
          <w:sz w:val="16"/>
        </w:rPr>
      </w:pPr>
    </w:p>
    <w:p w:rsidR="00CE3A58" w:rsidRDefault="00CE3A58" w:rsidP="00CE3A58">
      <w:pPr>
        <w:jc w:val="right"/>
        <w:rPr>
          <w:b/>
          <w:sz w:val="18"/>
        </w:rPr>
      </w:pPr>
    </w:p>
    <w:p w:rsidR="00CE3A58" w:rsidRDefault="00CE3A58" w:rsidP="00CE3A58">
      <w:pPr>
        <w:pStyle w:val="spase"/>
      </w:pPr>
    </w:p>
    <w:p w:rsidR="00CE3A58" w:rsidRPr="006D1EA8" w:rsidRDefault="00CE3A58" w:rsidP="00CE3A58">
      <w:r>
        <w:t xml:space="preserve">В результате моделирования этих неисправностей на входных наборах </w:t>
      </w:r>
      <w:r>
        <w:rPr>
          <w:i/>
          <w:lang w:val="en-US"/>
        </w:rPr>
        <w:t>T</w:t>
      </w:r>
      <w:r w:rsidRPr="006D1EA8">
        <w:rPr>
          <w:i/>
          <w:vertAlign w:val="subscript"/>
        </w:rPr>
        <w:t>0</w:t>
      </w:r>
      <w:r w:rsidRPr="006D1EA8">
        <w:rPr>
          <w:i/>
        </w:rPr>
        <w:t>-</w:t>
      </w:r>
      <w:r>
        <w:rPr>
          <w:i/>
          <w:lang w:val="en-US"/>
        </w:rPr>
        <w:t>T</w:t>
      </w:r>
      <w:bookmarkStart w:id="4" w:name="OCRUncertain065"/>
      <w:r w:rsidRPr="006D1EA8">
        <w:rPr>
          <w:i/>
          <w:vertAlign w:val="subscript"/>
        </w:rPr>
        <w:t>7</w:t>
      </w:r>
      <w:r>
        <w:rPr>
          <w:i/>
        </w:rPr>
        <w:t xml:space="preserve"> </w:t>
      </w:r>
      <w:bookmarkEnd w:id="4"/>
      <w:proofErr w:type="gramStart"/>
      <w:r>
        <w:t>получена</w:t>
      </w:r>
      <w:proofErr w:type="gramEnd"/>
      <w:r>
        <w:t xml:space="preserve"> </w:t>
      </w:r>
      <w:bookmarkStart w:id="5" w:name="OCRUncertain069"/>
      <w:r>
        <w:t xml:space="preserve">ТФР, </w:t>
      </w:r>
      <w:bookmarkEnd w:id="5"/>
      <w:r>
        <w:t>приведенная в табл. 5.3. Наборы</w:t>
      </w:r>
      <w:r w:rsidRPr="006D1EA8">
        <w:t xml:space="preserve"> </w:t>
      </w:r>
      <w:r>
        <w:rPr>
          <w:i/>
          <w:lang w:val="en-US"/>
        </w:rPr>
        <w:t>T</w:t>
      </w:r>
      <w:r w:rsidRPr="006D1EA8">
        <w:rPr>
          <w:i/>
          <w:vertAlign w:val="subscript"/>
        </w:rPr>
        <w:t>1</w:t>
      </w:r>
      <w:r w:rsidRPr="006D1EA8">
        <w:rPr>
          <w:i/>
        </w:rPr>
        <w:t>,</w:t>
      </w:r>
      <w:r>
        <w:rPr>
          <w:i/>
        </w:rPr>
        <w:t xml:space="preserve"> </w:t>
      </w:r>
      <w:bookmarkStart w:id="6" w:name="OCRUncertain071"/>
      <w:r>
        <w:rPr>
          <w:i/>
        </w:rPr>
        <w:t>Т</w:t>
      </w:r>
      <w:r w:rsidRPr="006D1EA8">
        <w:rPr>
          <w:i/>
          <w:vertAlign w:val="subscript"/>
        </w:rPr>
        <w:t>3</w:t>
      </w:r>
      <w:r>
        <w:rPr>
          <w:i/>
        </w:rPr>
        <w:t>,</w:t>
      </w:r>
      <w:bookmarkEnd w:id="6"/>
      <w:r>
        <w:t xml:space="preserve"> </w:t>
      </w:r>
      <w:r>
        <w:rPr>
          <w:i/>
          <w:lang w:val="en-US"/>
        </w:rPr>
        <w:t>T</w:t>
      </w:r>
      <w:r w:rsidRPr="006D1EA8">
        <w:rPr>
          <w:i/>
          <w:vertAlign w:val="subscript"/>
        </w:rPr>
        <w:t>4</w:t>
      </w:r>
      <w:r>
        <w:t xml:space="preserve"> и </w:t>
      </w:r>
      <w:r>
        <w:rPr>
          <w:i/>
        </w:rPr>
        <w:t>Т</w:t>
      </w:r>
      <w:proofErr w:type="gramStart"/>
      <w:r w:rsidRPr="006D1EA8">
        <w:rPr>
          <w:i/>
          <w:vertAlign w:val="subscript"/>
        </w:rPr>
        <w:t>6</w:t>
      </w:r>
      <w:proofErr w:type="gramEnd"/>
      <w:r>
        <w:t xml:space="preserve"> покрывают ТФР, образуя полный тест схемы.</w:t>
      </w:r>
    </w:p>
    <w:p w:rsidR="00CE3A58" w:rsidRDefault="00CE3A58" w:rsidP="00CE3A58">
      <w:pPr>
        <w:framePr w:w="1888" w:hSpace="181" w:wrap="notBeside" w:vAnchor="text" w:hAnchor="page" w:x="2124" w:y="1599"/>
        <w:jc w:val="right"/>
        <w:rPr>
          <w:b/>
          <w:sz w:val="18"/>
        </w:rPr>
      </w:pPr>
      <w:r>
        <w:rPr>
          <w:b/>
          <w:sz w:val="18"/>
        </w:rPr>
        <w:t>Таблица 5.2.</w:t>
      </w:r>
    </w:p>
    <w:p w:rsidR="00CE3A58" w:rsidRDefault="00CE3A58" w:rsidP="00CE3A58">
      <w:pPr>
        <w:pStyle w:val="spase"/>
        <w:framePr w:w="1888" w:hSpace="181" w:wrap="notBeside" w:vAnchor="text" w:hAnchor="page" w:x="2124" w:y="1599"/>
      </w:pPr>
    </w:p>
    <w:tbl>
      <w:tblPr>
        <w:tblW w:w="0" w:type="auto"/>
        <w:tblLayout w:type="fixed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606"/>
        <w:gridCol w:w="1276"/>
      </w:tblGrid>
      <w:tr w:rsidR="00CE3A58" w:rsidTr="006E13AA">
        <w:tc>
          <w:tcPr>
            <w:tcW w:w="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</w:rPr>
            </w:pPr>
            <w:r>
              <w:rPr>
                <w:sz w:val="18"/>
              </w:rPr>
              <w:t>К</w:t>
            </w:r>
            <w:bookmarkStart w:id="7" w:name="OCRUncertain083"/>
            <w:r>
              <w:rPr>
                <w:sz w:val="18"/>
              </w:rPr>
              <w:t>л</w:t>
            </w:r>
            <w:bookmarkEnd w:id="7"/>
            <w:r>
              <w:rPr>
                <w:sz w:val="18"/>
              </w:rPr>
              <w:t>асс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</w:rPr>
            </w:pPr>
            <w:r>
              <w:rPr>
                <w:sz w:val="18"/>
              </w:rPr>
              <w:t>Неисправност</w:t>
            </w:r>
            <w:bookmarkStart w:id="8" w:name="OCRUncertain085"/>
            <w:r>
              <w:rPr>
                <w:sz w:val="18"/>
              </w:rPr>
              <w:t>ь</w:t>
            </w:r>
            <w:bookmarkEnd w:id="8"/>
          </w:p>
        </w:tc>
      </w:tr>
      <w:tr w:rsidR="00CE3A58" w:rsidTr="006E13AA">
        <w:tc>
          <w:tcPr>
            <w:tcW w:w="606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noProof/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76" w:type="dxa"/>
            <w:tcBorders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</w:rPr>
            </w:pPr>
            <w:r>
              <w:rPr>
                <w:sz w:val="18"/>
                <w:lang w:val="en-US"/>
              </w:rPr>
              <w:t>a/0, d/0, g/0</w:t>
            </w:r>
          </w:p>
        </w:tc>
      </w:tr>
      <w:tr w:rsidR="00CE3A58" w:rsidTr="006E13AA">
        <w:tc>
          <w:tcPr>
            <w:tcW w:w="6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noProof/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</w:rPr>
            </w:pPr>
            <w:r>
              <w:rPr>
                <w:sz w:val="18"/>
                <w:lang w:val="en-US"/>
              </w:rPr>
              <w:t>a/1</w:t>
            </w:r>
          </w:p>
        </w:tc>
      </w:tr>
      <w:tr w:rsidR="00CE3A58" w:rsidTr="006E13AA">
        <w:tc>
          <w:tcPr>
            <w:tcW w:w="6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noProof/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</w:rPr>
            </w:pPr>
            <w:r>
              <w:rPr>
                <w:sz w:val="18"/>
                <w:lang w:val="en-US"/>
              </w:rPr>
              <w:t>b/0</w:t>
            </w:r>
          </w:p>
        </w:tc>
      </w:tr>
      <w:tr w:rsidR="00CE3A58" w:rsidTr="006E13AA">
        <w:tc>
          <w:tcPr>
            <w:tcW w:w="6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noProof/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</w:rPr>
            </w:pPr>
            <w:r>
              <w:rPr>
                <w:sz w:val="18"/>
                <w:lang w:val="en-US"/>
              </w:rPr>
              <w:t>b/1</w:t>
            </w:r>
          </w:p>
        </w:tc>
      </w:tr>
      <w:tr w:rsidR="00CE3A58" w:rsidTr="006E13AA">
        <w:tc>
          <w:tcPr>
            <w:tcW w:w="6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noProof/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DE7B77">
            <w:pPr>
              <w:framePr w:w="1888" w:hSpace="181" w:wrap="notBeside" w:vAnchor="text" w:hAnchor="page" w:x="2124" w:y="1599"/>
              <w:ind w:firstLine="0"/>
              <w:rPr>
                <w:sz w:val="18"/>
              </w:rPr>
            </w:pPr>
            <w:r>
              <w:rPr>
                <w:sz w:val="18"/>
                <w:lang w:val="en-US"/>
              </w:rPr>
              <w:t xml:space="preserve">c/0, </w:t>
            </w:r>
            <w:r w:rsidR="00DE7B77">
              <w:rPr>
                <w:sz w:val="18"/>
                <w:lang w:val="en-US"/>
              </w:rPr>
              <w:t xml:space="preserve">f/0, </w:t>
            </w:r>
            <w:r>
              <w:rPr>
                <w:sz w:val="18"/>
                <w:lang w:val="en-US"/>
              </w:rPr>
              <w:t>h/0</w:t>
            </w:r>
          </w:p>
        </w:tc>
      </w:tr>
      <w:tr w:rsidR="00CE3A58" w:rsidTr="006E13AA">
        <w:tc>
          <w:tcPr>
            <w:tcW w:w="6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noProof/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</w:rPr>
            </w:pPr>
            <w:r>
              <w:rPr>
                <w:sz w:val="18"/>
                <w:lang w:val="en-US"/>
              </w:rPr>
              <w:t>c/1</w:t>
            </w:r>
          </w:p>
        </w:tc>
      </w:tr>
      <w:tr w:rsidR="00CE3A58" w:rsidTr="006E13AA">
        <w:tc>
          <w:tcPr>
            <w:tcW w:w="6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noProof/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d/1</w:t>
            </w:r>
          </w:p>
        </w:tc>
      </w:tr>
      <w:tr w:rsidR="00CE3A58" w:rsidTr="006E13AA">
        <w:tc>
          <w:tcPr>
            <w:tcW w:w="6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noProof/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e/1, f/1</w:t>
            </w:r>
          </w:p>
        </w:tc>
      </w:tr>
      <w:tr w:rsidR="00CE3A58" w:rsidTr="006E13AA">
        <w:tc>
          <w:tcPr>
            <w:tcW w:w="6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  <w:lang w:val="en-US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g/1, h/1, i/1</w:t>
            </w:r>
          </w:p>
        </w:tc>
      </w:tr>
      <w:tr w:rsidR="00CE3A58" w:rsidTr="006E13AA">
        <w:tc>
          <w:tcPr>
            <w:tcW w:w="60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noProof/>
                <w:sz w:val="18"/>
              </w:rPr>
            </w:pPr>
            <w:bookmarkStart w:id="9" w:name="OCRUncertain106"/>
            <w:r>
              <w:rPr>
                <w:noProof/>
                <w:sz w:val="18"/>
              </w:rPr>
              <w:t>1</w:t>
            </w:r>
            <w:bookmarkEnd w:id="9"/>
            <w:r>
              <w:rPr>
                <w:noProof/>
                <w:sz w:val="18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E3A58" w:rsidRDefault="009615D2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</w:t>
            </w:r>
            <w:r w:rsidR="00CE3A58">
              <w:rPr>
                <w:sz w:val="18"/>
                <w:lang w:val="en-US"/>
              </w:rPr>
              <w:t>/0</w:t>
            </w:r>
          </w:p>
        </w:tc>
      </w:tr>
    </w:tbl>
    <w:p w:rsidR="00CE3A58" w:rsidRDefault="00CE3A58" w:rsidP="00CE3A58">
      <w:pPr>
        <w:pStyle w:val="spase"/>
        <w:framePr w:w="1888" w:hSpace="181" w:wrap="notBeside" w:vAnchor="text" w:hAnchor="page" w:x="2124" w:y="1599"/>
      </w:pPr>
    </w:p>
    <w:p w:rsidR="00CA42FB" w:rsidRDefault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>
      <w:bookmarkStart w:id="10" w:name="_GoBack"/>
      <w:bookmarkEnd w:id="10"/>
    </w:p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DB355D" w:rsidRDefault="00CA42FB" w:rsidP="00CA42FB">
      <w:pPr>
        <w:tabs>
          <w:tab w:val="left" w:pos="1680"/>
        </w:tabs>
        <w:rPr>
          <w:lang w:val="en-US"/>
        </w:rPr>
      </w:pPr>
    </w:p>
    <w:sectPr w:rsidR="00CA42FB" w:rsidRPr="00DB355D" w:rsidSect="00CA3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dverGothic Car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022E31E"/>
    <w:lvl w:ilvl="0">
      <w:start w:val="5"/>
      <w:numFmt w:val="decimal"/>
      <w:pStyle w:val="Heading1"/>
      <w:lvlText w:val="%1."/>
      <w:legacy w:legacy="1" w:legacySpace="0" w:legacyIndent="0"/>
      <w:lvlJc w:val="left"/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pStyle w:val="Heading2"/>
      <w:lvlText w:val="%1.%2."/>
      <w:legacy w:legacy="1" w:legacySpace="0" w:legacyIndent="0"/>
      <w:lvlJc w:val="left"/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egacy w:legacy="1" w:legacySpace="0" w:legacyIndent="0"/>
      <w:lvlJc w:val="left"/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708" w:hanging="708"/>
      </w:pPr>
      <w:rPr>
        <w:rFonts w:cs="Times New Roman"/>
      </w:r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1416" w:hanging="708"/>
      </w:pPr>
      <w:rPr>
        <w:rFonts w:cs="Times New Roman"/>
      </w:r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2124" w:hanging="708"/>
      </w:pPr>
      <w:rPr>
        <w:rFonts w:cs="Times New Roman"/>
      </w:r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2832" w:hanging="708"/>
      </w:pPr>
      <w:rPr>
        <w:rFonts w:cs="Times New Roman"/>
      </w:r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3540" w:hanging="708"/>
      </w:pPr>
      <w:rPr>
        <w:rFonts w:cs="Times New Roman"/>
      </w:r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4248" w:hanging="708"/>
      </w:pPr>
      <w:rPr>
        <w:rFonts w:cs="Times New Roman"/>
      </w:rPr>
    </w:lvl>
  </w:abstractNum>
  <w:abstractNum w:abstractNumId="1">
    <w:nsid w:val="FFFFFFFE"/>
    <w:multiLevelType w:val="singleLevel"/>
    <w:tmpl w:val="7B283A88"/>
    <w:lvl w:ilvl="0">
      <w:numFmt w:val="bullet"/>
      <w:lvlText w:val="*"/>
      <w:lvlJc w:val="left"/>
    </w:lvl>
  </w:abstractNum>
  <w:abstractNum w:abstractNumId="2">
    <w:nsid w:val="081E207F"/>
    <w:multiLevelType w:val="singleLevel"/>
    <w:tmpl w:val="9DF8B00E"/>
    <w:lvl w:ilvl="0">
      <w:start w:val="1"/>
      <w:numFmt w:val="decimal"/>
      <w:lvlText w:val="%1."/>
      <w:legacy w:legacy="1" w:legacySpace="0" w:legacyIndent="57"/>
      <w:lvlJc w:val="left"/>
      <w:rPr>
        <w:rFonts w:ascii="Times New Roman" w:hAnsi="Times New Roman" w:cs="Times New Roman" w:hint="default"/>
        <w:b w:val="0"/>
        <w:i w:val="0"/>
      </w:rPr>
    </w:lvl>
  </w:abstractNum>
  <w:abstractNum w:abstractNumId="3">
    <w:nsid w:val="12766405"/>
    <w:multiLevelType w:val="singleLevel"/>
    <w:tmpl w:val="DF600B3C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3CDB6E11"/>
    <w:multiLevelType w:val="singleLevel"/>
    <w:tmpl w:val="C2C20998"/>
    <w:lvl w:ilvl="0">
      <w:start w:val="4"/>
      <w:numFmt w:val="decimal"/>
      <w:lvlText w:val="5.%1. "/>
      <w:legacy w:legacy="1" w:legacySpace="0" w:legacyIndent="283"/>
      <w:lvlJc w:val="left"/>
      <w:pPr>
        <w:ind w:left="737" w:hanging="283"/>
      </w:pPr>
      <w:rPr>
        <w:rFonts w:ascii="Times New Roman" w:hAnsi="Times New Roman" w:cs="Times New Roman" w:hint="default"/>
        <w:b w:val="0"/>
        <w:i w:val="0"/>
        <w:sz w:val="22"/>
        <w:u w:val="none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"/>
        <w:legacy w:legacy="1" w:legacySpace="0" w:legacyIndent="170"/>
        <w:lvlJc w:val="left"/>
        <w:rPr>
          <w:rFonts w:ascii="Wingdings" w:hAnsi="Wingdings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"/>
        <w:legacy w:legacy="1" w:legacySpace="113" w:legacyIndent="0"/>
        <w:lvlJc w:val="left"/>
        <w:rPr>
          <w:rFonts w:ascii="Wingdings" w:hAnsi="Wingdings" w:hint="default"/>
          <w:sz w:val="14"/>
        </w:rPr>
      </w:lvl>
    </w:lvlOverride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3A58"/>
    <w:rsid w:val="001A06D9"/>
    <w:rsid w:val="00765FA5"/>
    <w:rsid w:val="009615D2"/>
    <w:rsid w:val="00CA3E39"/>
    <w:rsid w:val="00CA42FB"/>
    <w:rsid w:val="00CE3A58"/>
    <w:rsid w:val="00DB355D"/>
    <w:rsid w:val="00DE7B77"/>
    <w:rsid w:val="00FD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58"/>
    <w:pPr>
      <w:overflowPunct w:val="0"/>
      <w:autoSpaceDE w:val="0"/>
      <w:autoSpaceDN w:val="0"/>
      <w:adjustRightInd w:val="0"/>
      <w:spacing w:after="0" w:line="264" w:lineRule="auto"/>
      <w:ind w:firstLine="454"/>
      <w:jc w:val="both"/>
      <w:textAlignment w:val="baseline"/>
    </w:pPr>
    <w:rPr>
      <w:rFonts w:ascii="Times New Roman" w:eastAsia="Times New Roman" w:hAnsi="Times New Roman" w:cs="Times New Roman"/>
      <w:szCs w:val="20"/>
      <w:lang w:eastAsia="uk-UA"/>
    </w:rPr>
  </w:style>
  <w:style w:type="paragraph" w:styleId="Heading1">
    <w:name w:val="heading 1"/>
    <w:basedOn w:val="Normal"/>
    <w:next w:val="Normal"/>
    <w:link w:val="Heading1Char"/>
    <w:qFormat/>
    <w:rsid w:val="00CE3A58"/>
    <w:pPr>
      <w:keepNext/>
      <w:numPr>
        <w:numId w:val="1"/>
      </w:numPr>
      <w:spacing w:before="1200" w:after="120"/>
      <w:ind w:firstLine="0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link w:val="Heading2Char"/>
    <w:qFormat/>
    <w:rsid w:val="00CE3A58"/>
    <w:pPr>
      <w:keepNext/>
      <w:numPr>
        <w:ilvl w:val="1"/>
        <w:numId w:val="1"/>
      </w:numPr>
      <w:spacing w:before="120" w:after="120"/>
      <w:ind w:firstLine="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CE3A58"/>
    <w:pPr>
      <w:keepNext/>
      <w:numPr>
        <w:ilvl w:val="2"/>
        <w:numId w:val="1"/>
      </w:numPr>
      <w:spacing w:before="120" w:after="120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CE3A58"/>
    <w:pPr>
      <w:keepNext/>
      <w:numPr>
        <w:ilvl w:val="3"/>
        <w:numId w:val="1"/>
      </w:numPr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CE3A58"/>
    <w:pPr>
      <w:numPr>
        <w:ilvl w:val="4"/>
        <w:numId w:val="1"/>
      </w:numPr>
      <w:spacing w:before="240" w:after="60"/>
      <w:outlineLvl w:val="4"/>
    </w:pPr>
    <w:rPr>
      <w:rFonts w:ascii="AdverGothic Card" w:hAnsi="AdverGothic Card"/>
    </w:rPr>
  </w:style>
  <w:style w:type="paragraph" w:styleId="Heading6">
    <w:name w:val="heading 6"/>
    <w:basedOn w:val="Normal"/>
    <w:next w:val="Normal"/>
    <w:link w:val="Heading6Char"/>
    <w:qFormat/>
    <w:rsid w:val="00CE3A58"/>
    <w:pPr>
      <w:numPr>
        <w:ilvl w:val="5"/>
        <w:numId w:val="1"/>
      </w:numPr>
      <w:spacing w:before="240" w:after="60"/>
      <w:outlineLvl w:val="5"/>
    </w:pPr>
    <w:rPr>
      <w:rFonts w:ascii="AdverGothic Card" w:hAnsi="AdverGothic Card"/>
      <w:i/>
    </w:rPr>
  </w:style>
  <w:style w:type="paragraph" w:styleId="Heading7">
    <w:name w:val="heading 7"/>
    <w:basedOn w:val="Normal"/>
    <w:next w:val="Normal"/>
    <w:link w:val="Heading7Char"/>
    <w:qFormat/>
    <w:rsid w:val="00CE3A58"/>
    <w:pPr>
      <w:numPr>
        <w:ilvl w:val="6"/>
        <w:numId w:val="1"/>
      </w:numPr>
      <w:spacing w:before="240" w:after="60"/>
      <w:outlineLvl w:val="6"/>
    </w:pPr>
    <w:rPr>
      <w:rFonts w:ascii="AdverGothic Card" w:hAnsi="AdverGothic Card"/>
    </w:rPr>
  </w:style>
  <w:style w:type="paragraph" w:styleId="Heading8">
    <w:name w:val="heading 8"/>
    <w:basedOn w:val="Normal"/>
    <w:next w:val="Normal"/>
    <w:link w:val="Heading8Char"/>
    <w:qFormat/>
    <w:rsid w:val="00CE3A58"/>
    <w:pPr>
      <w:numPr>
        <w:ilvl w:val="7"/>
        <w:numId w:val="1"/>
      </w:numPr>
      <w:spacing w:before="240" w:after="60"/>
      <w:outlineLvl w:val="7"/>
    </w:pPr>
    <w:rPr>
      <w:rFonts w:ascii="AdverGothic Card" w:hAnsi="AdverGothic Card"/>
      <w:i/>
    </w:rPr>
  </w:style>
  <w:style w:type="paragraph" w:styleId="Heading9">
    <w:name w:val="heading 9"/>
    <w:basedOn w:val="Normal"/>
    <w:next w:val="Normal"/>
    <w:link w:val="Heading9Char"/>
    <w:qFormat/>
    <w:rsid w:val="00CE3A58"/>
    <w:pPr>
      <w:numPr>
        <w:ilvl w:val="8"/>
        <w:numId w:val="1"/>
      </w:numPr>
      <w:spacing w:before="240" w:after="60"/>
      <w:outlineLvl w:val="8"/>
    </w:pPr>
    <w:rPr>
      <w:rFonts w:ascii="AdverGothic Card" w:hAnsi="AdverGothic Card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A58"/>
    <w:rPr>
      <w:rFonts w:ascii="Times New Roman" w:eastAsia="Times New Roman" w:hAnsi="Times New Roman" w:cs="Times New Roman"/>
      <w:b/>
      <w:caps/>
      <w:kern w:val="28"/>
      <w:szCs w:val="20"/>
      <w:lang w:eastAsia="uk-UA"/>
    </w:rPr>
  </w:style>
  <w:style w:type="character" w:customStyle="1" w:styleId="Heading2Char">
    <w:name w:val="Heading 2 Char"/>
    <w:basedOn w:val="DefaultParagraphFont"/>
    <w:link w:val="Heading2"/>
    <w:rsid w:val="00CE3A58"/>
    <w:rPr>
      <w:rFonts w:ascii="Times New Roman" w:eastAsia="Times New Roman" w:hAnsi="Times New Roman" w:cs="Times New Roman"/>
      <w:b/>
      <w:caps/>
      <w:szCs w:val="20"/>
      <w:lang w:eastAsia="uk-UA"/>
    </w:rPr>
  </w:style>
  <w:style w:type="character" w:customStyle="1" w:styleId="Heading3Char">
    <w:name w:val="Heading 3 Char"/>
    <w:basedOn w:val="DefaultParagraphFont"/>
    <w:link w:val="Heading3"/>
    <w:rsid w:val="00CE3A58"/>
    <w:rPr>
      <w:rFonts w:ascii="Times New Roman" w:eastAsia="Times New Roman" w:hAnsi="Times New Roman" w:cs="Times New Roman"/>
      <w:b/>
      <w:szCs w:val="20"/>
      <w:lang w:eastAsia="uk-UA"/>
    </w:rPr>
  </w:style>
  <w:style w:type="character" w:customStyle="1" w:styleId="Heading4Char">
    <w:name w:val="Heading 4 Char"/>
    <w:basedOn w:val="DefaultParagraphFont"/>
    <w:link w:val="Heading4"/>
    <w:rsid w:val="00CE3A58"/>
    <w:rPr>
      <w:rFonts w:ascii="Times New Roman" w:eastAsia="Times New Roman" w:hAnsi="Times New Roman" w:cs="Times New Roman"/>
      <w:b/>
      <w:i/>
      <w:szCs w:val="20"/>
      <w:lang w:eastAsia="uk-UA"/>
    </w:rPr>
  </w:style>
  <w:style w:type="character" w:customStyle="1" w:styleId="Heading5Char">
    <w:name w:val="Heading 5 Char"/>
    <w:basedOn w:val="DefaultParagraphFont"/>
    <w:link w:val="Heading5"/>
    <w:rsid w:val="00CE3A58"/>
    <w:rPr>
      <w:rFonts w:ascii="AdverGothic Card" w:eastAsia="Times New Roman" w:hAnsi="AdverGothic Card" w:cs="Times New Roman"/>
      <w:szCs w:val="20"/>
      <w:lang w:eastAsia="uk-UA"/>
    </w:rPr>
  </w:style>
  <w:style w:type="character" w:customStyle="1" w:styleId="Heading6Char">
    <w:name w:val="Heading 6 Char"/>
    <w:basedOn w:val="DefaultParagraphFont"/>
    <w:link w:val="Heading6"/>
    <w:rsid w:val="00CE3A58"/>
    <w:rPr>
      <w:rFonts w:ascii="AdverGothic Card" w:eastAsia="Times New Roman" w:hAnsi="AdverGothic Card" w:cs="Times New Roman"/>
      <w:i/>
      <w:szCs w:val="20"/>
      <w:lang w:eastAsia="uk-UA"/>
    </w:rPr>
  </w:style>
  <w:style w:type="character" w:customStyle="1" w:styleId="Heading7Char">
    <w:name w:val="Heading 7 Char"/>
    <w:basedOn w:val="DefaultParagraphFont"/>
    <w:link w:val="Heading7"/>
    <w:rsid w:val="00CE3A58"/>
    <w:rPr>
      <w:rFonts w:ascii="AdverGothic Card" w:eastAsia="Times New Roman" w:hAnsi="AdverGothic Card" w:cs="Times New Roman"/>
      <w:szCs w:val="20"/>
      <w:lang w:eastAsia="uk-UA"/>
    </w:rPr>
  </w:style>
  <w:style w:type="character" w:customStyle="1" w:styleId="Heading8Char">
    <w:name w:val="Heading 8 Char"/>
    <w:basedOn w:val="DefaultParagraphFont"/>
    <w:link w:val="Heading8"/>
    <w:rsid w:val="00CE3A58"/>
    <w:rPr>
      <w:rFonts w:ascii="AdverGothic Card" w:eastAsia="Times New Roman" w:hAnsi="AdverGothic Card" w:cs="Times New Roman"/>
      <w:i/>
      <w:szCs w:val="20"/>
      <w:lang w:eastAsia="uk-UA"/>
    </w:rPr>
  </w:style>
  <w:style w:type="character" w:customStyle="1" w:styleId="Heading9Char">
    <w:name w:val="Heading 9 Char"/>
    <w:basedOn w:val="DefaultParagraphFont"/>
    <w:link w:val="Heading9"/>
    <w:rsid w:val="00CE3A58"/>
    <w:rPr>
      <w:rFonts w:ascii="AdverGothic Card" w:eastAsia="Times New Roman" w:hAnsi="AdverGothic Card" w:cs="Times New Roman"/>
      <w:i/>
      <w:szCs w:val="20"/>
      <w:lang w:eastAsia="uk-UA"/>
    </w:rPr>
  </w:style>
  <w:style w:type="paragraph" w:customStyle="1" w:styleId="spase">
    <w:name w:val="spase"/>
    <w:basedOn w:val="Normal"/>
    <w:rsid w:val="00CE3A58"/>
    <w:pPr>
      <w:spacing w:line="120" w:lineRule="auto"/>
      <w:ind w:firstLine="425"/>
    </w:pPr>
  </w:style>
  <w:style w:type="paragraph" w:customStyle="1" w:styleId="remarc">
    <w:name w:val="remarc"/>
    <w:basedOn w:val="Normal"/>
    <w:rsid w:val="00CA42FB"/>
    <w:pPr>
      <w:ind w:firstLine="0"/>
    </w:pPr>
    <w:rPr>
      <w:sz w:val="18"/>
    </w:rPr>
  </w:style>
  <w:style w:type="paragraph" w:customStyle="1" w:styleId="bulet">
    <w:name w:val="bulet"/>
    <w:basedOn w:val="Normal"/>
    <w:rsid w:val="00CA42FB"/>
    <w:pPr>
      <w:ind w:firstLine="0"/>
    </w:pPr>
  </w:style>
  <w:style w:type="paragraph" w:customStyle="1" w:styleId="namber">
    <w:name w:val="namber"/>
    <w:basedOn w:val="Normal"/>
    <w:rsid w:val="00CA42FB"/>
    <w:pPr>
      <w:ind w:firstLine="0"/>
    </w:pPr>
  </w:style>
  <w:style w:type="paragraph" w:styleId="EndnoteText">
    <w:name w:val="endnote text"/>
    <w:basedOn w:val="Normal"/>
    <w:link w:val="EndnoteTextChar"/>
    <w:semiHidden/>
    <w:rsid w:val="00CA42FB"/>
    <w:pPr>
      <w:ind w:firstLine="425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CA42FB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Header">
    <w:name w:val="header"/>
    <w:basedOn w:val="Normal"/>
    <w:link w:val="HeaderChar"/>
    <w:semiHidden/>
    <w:rsid w:val="00CA42FB"/>
    <w:pPr>
      <w:tabs>
        <w:tab w:val="center" w:pos="4703"/>
        <w:tab w:val="right" w:pos="9406"/>
      </w:tabs>
      <w:ind w:firstLine="425"/>
    </w:pPr>
  </w:style>
  <w:style w:type="character" w:customStyle="1" w:styleId="HeaderChar">
    <w:name w:val="Header Char"/>
    <w:basedOn w:val="DefaultParagraphFont"/>
    <w:link w:val="Header"/>
    <w:semiHidden/>
    <w:rsid w:val="00CA42FB"/>
    <w:rPr>
      <w:rFonts w:ascii="Times New Roman" w:eastAsia="Times New Roman" w:hAnsi="Times New Roman" w:cs="Times New Roman"/>
      <w:szCs w:val="20"/>
      <w:lang w:eastAsia="uk-UA"/>
    </w:rPr>
  </w:style>
  <w:style w:type="paragraph" w:styleId="Footer">
    <w:name w:val="footer"/>
    <w:basedOn w:val="Normal"/>
    <w:link w:val="FooterChar"/>
    <w:semiHidden/>
    <w:rsid w:val="00CA42FB"/>
    <w:pPr>
      <w:tabs>
        <w:tab w:val="center" w:pos="4703"/>
        <w:tab w:val="right" w:pos="9406"/>
      </w:tabs>
      <w:ind w:firstLine="425"/>
    </w:pPr>
  </w:style>
  <w:style w:type="character" w:customStyle="1" w:styleId="FooterChar">
    <w:name w:val="Footer Char"/>
    <w:basedOn w:val="DefaultParagraphFont"/>
    <w:link w:val="Footer"/>
    <w:semiHidden/>
    <w:rsid w:val="00CA42FB"/>
    <w:rPr>
      <w:rFonts w:ascii="Times New Roman" w:eastAsia="Times New Roman" w:hAnsi="Times New Roman" w:cs="Times New Roman"/>
      <w:szCs w:val="20"/>
      <w:lang w:eastAsia="uk-UA"/>
    </w:rPr>
  </w:style>
  <w:style w:type="character" w:styleId="PageNumber">
    <w:name w:val="page number"/>
    <w:basedOn w:val="DefaultParagraphFont"/>
    <w:semiHidden/>
    <w:rsid w:val="00CA42FB"/>
    <w:rPr>
      <w:rFonts w:cs="Times New Roman"/>
    </w:rPr>
  </w:style>
  <w:style w:type="paragraph" w:styleId="TOC1">
    <w:name w:val="toc 1"/>
    <w:basedOn w:val="Normal"/>
    <w:next w:val="Normal"/>
    <w:autoRedefine/>
    <w:semiHidden/>
    <w:rsid w:val="00CA42FB"/>
    <w:pPr>
      <w:tabs>
        <w:tab w:val="right" w:leader="dot" w:pos="6804"/>
      </w:tabs>
    </w:pPr>
  </w:style>
  <w:style w:type="paragraph" w:styleId="TOC2">
    <w:name w:val="toc 2"/>
    <w:basedOn w:val="Normal"/>
    <w:next w:val="Normal"/>
    <w:autoRedefine/>
    <w:semiHidden/>
    <w:rsid w:val="00CA42FB"/>
    <w:pPr>
      <w:tabs>
        <w:tab w:val="right" w:leader="dot" w:pos="6804"/>
      </w:tabs>
      <w:ind w:left="220"/>
    </w:pPr>
  </w:style>
  <w:style w:type="paragraph" w:styleId="TOC3">
    <w:name w:val="toc 3"/>
    <w:basedOn w:val="Normal"/>
    <w:next w:val="Normal"/>
    <w:autoRedefine/>
    <w:semiHidden/>
    <w:rsid w:val="00CA42FB"/>
    <w:pPr>
      <w:tabs>
        <w:tab w:val="right" w:leader="dot" w:pos="6804"/>
      </w:tabs>
      <w:ind w:left="440"/>
    </w:pPr>
  </w:style>
  <w:style w:type="paragraph" w:styleId="TOC4">
    <w:name w:val="toc 4"/>
    <w:basedOn w:val="Normal"/>
    <w:next w:val="Normal"/>
    <w:autoRedefine/>
    <w:semiHidden/>
    <w:rsid w:val="00CA42FB"/>
    <w:pPr>
      <w:tabs>
        <w:tab w:val="right" w:leader="dot" w:pos="6804"/>
      </w:tabs>
      <w:ind w:left="660"/>
    </w:pPr>
  </w:style>
  <w:style w:type="paragraph" w:styleId="TOC5">
    <w:name w:val="toc 5"/>
    <w:basedOn w:val="Normal"/>
    <w:next w:val="Normal"/>
    <w:autoRedefine/>
    <w:semiHidden/>
    <w:rsid w:val="00CA42FB"/>
    <w:pPr>
      <w:tabs>
        <w:tab w:val="right" w:leader="dot" w:pos="6804"/>
      </w:tabs>
      <w:ind w:left="880"/>
    </w:pPr>
  </w:style>
  <w:style w:type="paragraph" w:styleId="TOC6">
    <w:name w:val="toc 6"/>
    <w:basedOn w:val="Normal"/>
    <w:next w:val="Normal"/>
    <w:autoRedefine/>
    <w:semiHidden/>
    <w:rsid w:val="00CA42FB"/>
    <w:pPr>
      <w:tabs>
        <w:tab w:val="right" w:leader="dot" w:pos="6804"/>
      </w:tabs>
      <w:ind w:left="1100"/>
    </w:pPr>
  </w:style>
  <w:style w:type="paragraph" w:styleId="TOC7">
    <w:name w:val="toc 7"/>
    <w:basedOn w:val="Normal"/>
    <w:next w:val="Normal"/>
    <w:autoRedefine/>
    <w:semiHidden/>
    <w:rsid w:val="00CA42FB"/>
    <w:pPr>
      <w:tabs>
        <w:tab w:val="right" w:leader="dot" w:pos="6804"/>
      </w:tabs>
      <w:ind w:left="1320"/>
    </w:pPr>
  </w:style>
  <w:style w:type="paragraph" w:styleId="TOC8">
    <w:name w:val="toc 8"/>
    <w:basedOn w:val="Normal"/>
    <w:next w:val="Normal"/>
    <w:autoRedefine/>
    <w:semiHidden/>
    <w:rsid w:val="00CA42FB"/>
    <w:pPr>
      <w:tabs>
        <w:tab w:val="right" w:leader="dot" w:pos="6804"/>
      </w:tabs>
      <w:ind w:left="1540"/>
    </w:pPr>
  </w:style>
  <w:style w:type="paragraph" w:styleId="TOC9">
    <w:name w:val="toc 9"/>
    <w:basedOn w:val="Normal"/>
    <w:next w:val="Normal"/>
    <w:autoRedefine/>
    <w:semiHidden/>
    <w:rsid w:val="00CA42FB"/>
    <w:pPr>
      <w:tabs>
        <w:tab w:val="right" w:leader="dot" w:pos="6804"/>
      </w:tabs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C5E0C-6FD1-4D7D-8E3F-3030DB9CF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853</Words>
  <Characters>487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НТУУ "КПИ"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Бабенко</dc:creator>
  <cp:keywords/>
  <dc:description/>
  <cp:lastModifiedBy>2garin</cp:lastModifiedBy>
  <cp:revision>4</cp:revision>
  <dcterms:created xsi:type="dcterms:W3CDTF">2010-01-25T14:20:00Z</dcterms:created>
  <dcterms:modified xsi:type="dcterms:W3CDTF">2011-01-19T16:37:00Z</dcterms:modified>
</cp:coreProperties>
</file>