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24"/>
          <w:szCs w:val="24"/>
        </w:rPr>
        <w:t xml:space="preserve">Seeing is believing” seems self-evident. That is why we even question our own sanity if we cannot trust our eyes. Yet vision is neither innate nor inborn. It is developed in early children by input of clear images from each eye. Through our vision, as well as other faculties, children develop a schematic concept of the world. For this reason, we are surprised when our preconceived ideas are challenged, as when we are presented with optical illusions (e.g. Escher perpetual steps). The process of perception involves receiving images, analysing them and making predictions based on memory, expectations and previous experience. When the brain function is disturbed, we hallucinate and see things that are not there. Stated simply, the first objective of this course is to demonstrate that we see with our brains and not with our eyes. We will do this by exploring the physics, anatomy and physiology of vision including functional MRI imaging of the vision of the brain when presented with different images. </w:t>
      </w:r>
    </w:p>
    <w:p>
      <w:pPr>
        <w:pStyle w:val="Normal1"/>
        <w:spacing w:lineRule="auto" w:line="24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If our perception can be influenced by our experience, the reverse can also apply. By manipulating images, we can create different perceptions. “Photographs don’t lie.'' is another truism. Images can be manipulated. Throughout history, there are also many examples of mass manipulation from propaganda images. Today with the widespread use of digital photography and the use of multi-media in journalism, computer manipulation is made easier. There are many examples of politicians being airbrushed out or juxtaposed. Simply cropping photographs can portray a different story. Our second objective is to help students appreciate our perceptions which can be influenced by the manipulation of images. They can actively participate by finding everyday examples from history, from journalism, from advertisement and analyse the devices used.</w:t>
      </w:r>
    </w:p>
    <w:p>
      <w:pPr>
        <w:pStyle w:val="Normal1"/>
        <w:spacing w:lineRule="auto" w:line="240" w:before="0" w:after="200"/>
        <w:ind w:firstLine="720"/>
        <w:jc w:val="both"/>
        <w:rPr/>
      </w:pPr>
      <w:r>
        <w:rPr>
          <w:rFonts w:eastAsia="Times New Roman" w:cs="Times New Roman" w:ascii="Times New Roman" w:hAnsi="Times New Roman"/>
          <w:sz w:val="24"/>
          <w:szCs w:val="24"/>
        </w:rPr>
        <w:t>“</w:t>
      </w:r>
      <w:r>
        <w:rPr>
          <w:rFonts w:eastAsia="Times New Roman" w:cs="Times New Roman" w:ascii="Times New Roman" w:hAnsi="Times New Roman"/>
          <w:sz w:val="24"/>
          <w:szCs w:val="24"/>
        </w:rPr>
        <w:t>Beauty is in the eye of the beholder”. Is beauty entirely subjective? Is our judgement of how attractive a member of the opposite sex influenced by our own perception of how good looking we are? We are going to approach our individual preferences and the prevailing concept of beauty from the point of view of the development of self-image, of psychosexual growth of young adolescence. The objective is to see if we could challenge students to take a more detached look at the prevailing culture of body image.</w:t>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ko-KR"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ko-KR"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ko-KR"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1</Pages>
  <Words>375</Words>
  <Characters>1988</Characters>
  <CharactersWithSpaces>2361</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cp:revision>0</cp:revision>
  <dc:subject/>
  <dc:title/>
</cp:coreProperties>
</file>