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keepNext/>
        <w:spacing w:before="240"/>
      </w:pPr>
      <w:r>
        <w:rPr>
          <w:i/>
          <w:sz w:val="18"/>
        </w:rPr>
        <w:t>Henvisninger</w:t>
      </w:r>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Petrus Borumanum · 00:05:02</w:t>
      </w:r>
    </w:p>
    <w:p>
      <w:r>
        <w:t>Ja.</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r>
        <w:t>Digterens triumf er jo ofte resignationen.</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keepNext/>
        <w:spacing w:before="240"/>
      </w:pPr>
      <w:r>
        <w:rPr>
          <w:i/>
          <w:sz w:val="18"/>
        </w:rPr>
        <w:t>Henvisninger</w:t>
      </w:r>
    </w:p>
    <w:p>
      <w:pPr>
        <w:spacing w:after="120"/>
      </w:pPr>
      <w:hyperlink r:id="rId11">
        <w:r>
          <w:rPr>
            <w:rFonts w:ascii="Courier New" w:hAnsi="Courier New"/>
            <w:sz w:val="17"/>
            <w:color w:val="000000"/>
          </w:rPr>
          <w:t>[25] Martius: tilhørende Mars. Lewis &amp; Short, A Latin Dictionary (1879), “Mars”, III.</w:t>
        </w:r>
      </w:hyperlink>
    </w:p>
    <w:p>
      <w:pPr>
        <w:spacing w:after="120"/>
      </w:pPr>
      <w:hyperlink r:id="rId12">
        <w:r>
          <w:rPr>
            <w:rFonts w:ascii="Courier New" w:hAnsi="Courier New"/>
            <w:sz w:val="17"/>
            <w:color w:val="000000"/>
          </w:rPr>
          <w:t>[36] Prévôt, fra latin praepositus. Dictionnaire de l’Académie française, 9. udgave.</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keepNext/>
        <w:spacing w:before="240"/>
      </w:pPr>
      <w:r>
        <w:rPr>
          <w:i/>
          <w:sz w:val="18"/>
        </w:rPr>
        <w:t>Henvisninger</w:t>
      </w:r>
    </w:p>
    <w:p>
      <w:pPr>
        <w:spacing w:after="120"/>
      </w:pPr>
      <w:hyperlink r:id="rId13">
        <w:r>
          <w:rPr>
            <w:rFonts w:ascii="Courier New" w:hAnsi="Courier New"/>
            <w:sz w:val="17"/>
            <w:color w:val="000000"/>
          </w:rPr>
          <w:t>[17] Jf. Jean-François Lyotard, The Postmodern Condition: A Report on Knowledge, overs. Geoffrey Bennington og Brian Massumi. Minneapolis: University of Minnesota Press, 1984. Fransk original 1979.</w:t>
        </w:r>
      </w:hyperlink>
    </w:p>
    <w:p>
      <w:pPr>
        <w:pStyle w:val="Heading2"/>
      </w:pPr>
      <w:r>
        <w:t>Maskinsyntese · 2023</w:t>
      </w:r>
    </w:p>
    <w:p>
      <w:pPr>
        <w:keepNext/>
      </w:pPr>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pPr>
        <w:keepNext/>
      </w:pPr>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Computer Lars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keepNext/>
        <w:spacing w:before="240"/>
      </w:pPr>
      <w:r>
        <w:rPr>
          <w:i/>
          <w:sz w:val="18"/>
        </w:rPr>
        <w:t>Henvisninger</w:t>
      </w:r>
    </w:p>
    <w:p>
      <w:pPr>
        <w:spacing w:after="120"/>
      </w:pPr>
      <w:hyperlink r:id="rId14">
        <w:r>
          <w:rPr>
            <w:rFonts w:ascii="Courier New" w:hAnsi="Courier New"/>
            <w:sz w:val="17"/>
            <w:color w:val="000000"/>
          </w:rPr>
          <w:t>[4] Jf. Antonio Magliabechi (1633–1714). Biblioteca Nazionale Centrale di Firenze, The origins and evolution of the Magliabechiana library.</w:t>
        </w:r>
      </w:hyperlink>
    </w:p>
    <w:p>
      <w:pPr>
        <w:spacing w:after="120"/>
      </w:pPr>
      <w:hyperlink r:id="rId15">
        <w:r>
          <w:rPr>
            <w:rFonts w:ascii="Courier New" w:hAnsi="Courier New"/>
            <w:sz w:val="17"/>
            <w:color w:val="000000"/>
          </w:rPr>
          <w:t>[18] Jorge Luis Borges, “La biblioteca de Babel”. Obras completas, bind I. Buenos Aires: Emecé, 1989. Uddrag fra s. 468 hos Instituto Cervantes.</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Shattucks afbildning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keepNext/>
        <w:spacing w:before="240"/>
      </w:pPr>
      <w:r>
        <w:rPr>
          <w:i/>
          <w:sz w:val="18"/>
        </w:rPr>
        <w:t>Henvisninger</w:t>
      </w:r>
    </w:p>
    <w:p>
      <w:pPr>
        <w:spacing w:after="120"/>
      </w:pPr>
      <w:hyperlink r:id="rId16">
        <w:r>
          <w:rPr>
            <w:rFonts w:ascii="Courier New" w:hAnsi="Courier New"/>
            <w:sz w:val="17"/>
            <w:color w:val="000000"/>
          </w:rPr>
          <w:t>[9] Jf. Douglas R. Hofstadter, I Am a Strange Loop. New York: Basic Books, paperback 2008 [2007].</w:t>
        </w:r>
      </w:hyperlink>
    </w:p>
    <w:p>
      <w:pPr>
        <w:spacing w:after="120"/>
      </w:pPr>
      <w:hyperlink r:id="rId17">
        <w:r>
          <w:rPr>
            <w:rFonts w:ascii="Courier New" w:hAnsi="Courier New"/>
            <w:sz w:val="17"/>
            <w:color w:val="000000"/>
          </w:rPr>
          <w:t>[24] Marcel Proust, Du côté de chez Swann, Combray I</w:t>
        </w:r>
      </w:hyperlink>
    </w:p>
    <w:p>
      <w:pPr>
        <w:spacing w:after="120"/>
      </w:pPr>
      <w:hyperlink r:id="rId24">
        <w:r>
          <w:rPr>
            <w:rFonts w:ascii="Courier New" w:hAnsi="Courier New"/>
            <w:sz w:val="17"/>
            <w:color w:val="000000"/>
          </w:rPr>
          <w:t>[52] Jf. Roger Shattuck, “Lost and found: the structure of Proust’s novel”. I Richard Bales (red.), The Cambridge Companion to Proust. Cambridge: Cambridge University Press, 2001, s. 74–84. DOI: 10.1017/CCOL052166019X.006.</w:t>
        </w:r>
      </w:hyperlink>
    </w:p>
    <w:p>
      <w:pPr>
        <w:pStyle w:val="Heading2"/>
      </w:pPr>
      <w:r>
        <w:t>Maskinsyntese · 2023</w:t>
      </w:r>
    </w:p>
    <w:p>
      <w:pPr>
        <w:keepNext/>
      </w:pPr>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keepNext/>
        <w:spacing w:before="240"/>
      </w:pPr>
      <w:r>
        <w:rPr>
          <w:i/>
          <w:sz w:val="18"/>
        </w:rPr>
        <w:t>Henvisninger</w:t>
      </w:r>
    </w:p>
    <w:p>
      <w:pPr>
        <w:spacing w:after="120"/>
      </w:pPr>
      <w:hyperlink r:id="rId18">
        <w:r>
          <w:rPr>
            <w:rFonts w:ascii="Courier New" w:hAnsi="Courier New"/>
            <w:sz w:val="17"/>
            <w:color w:val="000000"/>
          </w:rPr>
          <w:t>[15] Immanuel Kant, Kritik der reinen Vernunft (1781/1787), “Transzendentale Doktrin der Urteilskraft”, indledningen, noten om Dummheit. Engelsk: J. M. D. Meiklejohn, The Critique of Pure Reason, note 26.</w:t>
        </w:r>
      </w:hyperlink>
    </w:p>
    <w:p>
      <w:pPr>
        <w:spacing w:after="120"/>
      </w:pPr>
      <w:hyperlink r:id="rId19">
        <w:r>
          <w:rPr>
            <w:rFonts w:ascii="Courier New" w:hAnsi="Courier New"/>
            <w:sz w:val="17"/>
            <w:color w:val="000000"/>
          </w:rPr>
          <w:t>[38] Robert Musil, Der Mann ohne Eigenschaften, 1930–1932, med efterladte manuskripter. Digital udgave: Musil Online, Österreichische Nationalbibliothek.</w:t>
        </w:r>
      </w:hyperlink>
    </w:p>
    <w:p>
      <w:pPr>
        <w:spacing w:after="120"/>
      </w:pPr>
      <w:hyperlink r:id="rId10">
        <w:r>
          <w:rPr>
            <w:rFonts w:ascii="Courier New" w:hAnsi="Courier New"/>
            <w:sz w:val="17"/>
            <w:color w:val="000000"/>
          </w:rPr>
          <w:t>[47] Under Bugten, samledokument, rammetekst og teser</w:t>
        </w:r>
      </w:hyperlink>
    </w:p>
    <w:p>
      <w:pPr>
        <w:spacing w:after="120"/>
      </w:pPr>
      <w:hyperlink r:id="rId22">
        <w:r>
          <w:rPr>
            <w:rFonts w:ascii="Courier New" w:hAnsi="Courier New"/>
            <w:sz w:val="17"/>
            <w:color w:val="000000"/>
          </w:rPr>
          <w:t>[50] Jf. Hoëné-Wronski, Introduction à la philosophie des mathématiques et technie de l’algorithmie. Paris: Courcier, 1811, s. 6. Gengivet og diskuteret i Francesc X. Barca i Salom, “Onofre J. Novellas y el compendio de matemáticas”, Llull 14, 1991, s. 449–477, især s. 470, note 50.</w:t>
        </w:r>
      </w:hyperlink>
    </w:p>
    <w:p>
      <w:pPr>
        <w:pStyle w:val="Heading2"/>
      </w:pPr>
      <w:r>
        <w:t>Maskinsyntese · 2023</w:t>
      </w:r>
    </w:p>
    <w:p>
      <w:pPr>
        <w:keepNext/>
      </w:pPr>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på forhånd er modbevist af Bouvard og Pécuchet.</w:t>
      </w:r>
    </w:p>
    <w:p>
      <w:pPr>
        <w:keepNext/>
        <w:spacing w:before="240"/>
      </w:pPr>
      <w:r>
        <w:rPr>
          <w:i/>
          <w:sz w:val="18"/>
        </w:rPr>
        <w:t>Computer Lars · 00:14:03</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keepNext/>
        <w:spacing w:before="240"/>
      </w:pPr>
      <w:r>
        <w:rPr>
          <w:i/>
          <w:sz w:val="18"/>
        </w:rPr>
        <w:t>Henvisninger</w:t>
      </w:r>
    </w:p>
    <w:p>
      <w:pPr>
        <w:spacing w:after="120"/>
      </w:pPr>
      <w:hyperlink r:id="rId20">
        <w:r>
          <w:rPr>
            <w:rFonts w:ascii="Courier New" w:hAnsi="Courier New"/>
            <w:sz w:val="17"/>
            <w:color w:val="000000"/>
          </w:rPr>
          <w:t>[12] Gustave Flaubert, Bouvard et Pécuchet: œuvre posthume. Paris: Alphonse Lemerre, 1881. BnF cb32110099x.</w:t>
        </w:r>
      </w:hyperlink>
    </w:p>
    <w:p>
      <w:pPr>
        <w:spacing w:after="120"/>
      </w:pPr>
      <w:hyperlink r:id="rId21">
        <w:r>
          <w:rPr>
            <w:rFonts w:ascii="Courier New" w:hAnsi="Courier New"/>
            <w:sz w:val="17"/>
            <w:color w:val="000000"/>
          </w:rPr>
          <w:t>[23] Marcel Proust, Contre Sainte-Beuve, red. Bernard de Fallois. Paris: Gallimard, 1954, “Préface”, s. 55–63; åbningssætningen s. 55.</w:t>
        </w:r>
      </w:hyperlink>
    </w:p>
    <w:p>
      <w:pPr>
        <w:spacing w:after="120"/>
      </w:pPr>
      <w:hyperlink r:id="rId17">
        <w:r>
          <w:rPr>
            <w:rFonts w:ascii="Courier New" w:hAnsi="Courier New"/>
            <w:sz w:val="17"/>
            <w:color w:val="000000"/>
          </w:rPr>
          <w:t>[24] Marcel Proust, Du côté de chez Swann, Combray I</w:t>
        </w:r>
      </w:hyperlink>
    </w:p>
    <w:p>
      <w:pPr>
        <w:spacing w:after="120"/>
      </w:pPr>
      <w:hyperlink r:id="rId25">
        <w:r>
          <w:rPr>
            <w:rFonts w:ascii="Courier New" w:hAnsi="Courier New"/>
            <w:sz w:val="17"/>
            <w:color w:val="000000"/>
          </w:rPr>
          <w:t>[51] Jf. Edgar Morin, La Méthode, bind III: La connaissance de la connaissance. Livre premier: Anthropologie de la connaissance. Paris: Seuil, 1986. Kapitlet “Intelligence, pensée, conscience”, I: “L’intelligence de l’intelligence humaine”, afsnittet “Les qualités intelligentes”.</w:t>
        </w:r>
      </w:hyperlink>
    </w:p>
    <w:p>
      <w:pPr>
        <w:pStyle w:val="Heading2"/>
      </w:pPr>
      <w:r>
        <w:t>Maskinsyntese · 2023</w:t>
      </w:r>
    </w:p>
    <w:p>
      <w:pPr>
        <w:keepNext/>
      </w:pPr>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pPr>
        <w:keepNext/>
      </w:pPr>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uterlars.github.io/Summa-Transscriptus/manuscript.html" TargetMode="External"/><Relationship Id="rId11" Type="http://schemas.openxmlformats.org/officeDocument/2006/relationships/hyperlink" Target="https://www.perseus.tufts.edu/hopper/text?doc=Perseus%3Atext%3A1999.04.0059%3Aentry%3DMars" TargetMode="External"/><Relationship Id="rId12" Type="http://schemas.openxmlformats.org/officeDocument/2006/relationships/hyperlink" Target="https://www.dictionnaire-academie.fr/article/A9P4273" TargetMode="External"/><Relationship Id="rId13" Type="http://schemas.openxmlformats.org/officeDocument/2006/relationships/hyperlink" Target="https://www.upress.umn.edu/9780816611737/the-postmodern-condition/" TargetMode="External"/><Relationship Id="rId14" Type="http://schemas.openxmlformats.org/officeDocument/2006/relationships/hyperlink" Target="https://bncf.cultura.gov.it/en/library/the-origins-and-evolution-of-the-magliabechiana-library/" TargetMode="External"/><Relationship Id="rId15" Type="http://schemas.openxmlformats.org/officeDocument/2006/relationships/hyperlink" Target="https://cvc.cervantes.es/actcult/borges/elementos/11a.htm" TargetMode="External"/><Relationship Id="rId16" Type="http://schemas.openxmlformats.org/officeDocument/2006/relationships/hyperlink" Target="https://www.hbglibrary.com/titles/douglas-r-hofstadter/i-am-a-strange-loop/9780465030798/" TargetMode="External"/><Relationship Id="rId17" Type="http://schemas.openxmlformats.org/officeDocument/2006/relationships/hyperlink" Target="https://fr.wikisource.org/wiki/Combray" TargetMode="External"/><Relationship Id="rId18" Type="http://schemas.openxmlformats.org/officeDocument/2006/relationships/hyperlink" Target="https://www.gutenberg.org/files/4280/4280-h/4280-h.htm" TargetMode="External"/><Relationship Id="rId19" Type="http://schemas.openxmlformats.org/officeDocument/2006/relationships/hyperlink" Target="https://edition.onb.ac.at/fedora/objects/context%3Amusil/methods/sdef%3AContext/get?mode=read" TargetMode="External"/><Relationship Id="rId20" Type="http://schemas.openxmlformats.org/officeDocument/2006/relationships/hyperlink" Target="https://catalogue.bnf.fr/ark:/12148/cb32110099x" TargetMode="External"/><Relationship Id="rId21" Type="http://schemas.openxmlformats.org/officeDocument/2006/relationships/hyperlink" Target="https://fr.wikisource.org/wiki/Contre_Sainte-Beuve/Pr%C3%A9face" TargetMode="External"/><Relationship Id="rId22" Type="http://schemas.openxmlformats.org/officeDocument/2006/relationships/hyperlink" Target="https://dialnet.unirioja.es/descarga/articulo/62094.pdf#page=22" TargetMode="External"/><Relationship Id="rId23" Type="http://schemas.openxmlformats.org/officeDocument/2006/relationships/hyperlink" Target="https://bib.vincent-bonnefille.fr/download/380/pdf/380.pdf#page=77" TargetMode="External"/><Relationship Id="rId24" Type="http://schemas.openxmlformats.org/officeDocument/2006/relationships/hyperlink" Target="https://doi.org/10.1017/CCOL052166019X.006" TargetMode="External"/><Relationship Id="rId25" Type="http://schemas.openxmlformats.org/officeDocument/2006/relationships/hyperlink" Target="https://catalogue.bnf.fr/ark:/12148/cb34900054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