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Edited reading transcript.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The subtitle of my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through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7">
        <w:r>
          <w:rPr>
            <w:color w:val="000000"/>
            <w:u w:val="single"/>
            <w:vertAlign w:val="superscript"/>
          </w:rPr>
          <w:t xml:space="preserve">[17]</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8">
        <w:r>
          <w:rPr>
            <w:color w:val="000000"/>
            <w:u w:val="single"/>
            <w:vertAlign w:val="superscript"/>
          </w:rPr>
          <w:t xml:space="preserve">[18]</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plane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The Russian background of cybernetic thought in politics and avant-garde art is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1908, but the descriptions he made are still of computers. That is also something that I pursued, that there is a cultural myth that I immediately bought into by launching this project that makes this a recurring experience.</w:t>
      </w:r>
      <w:hyperlink w:anchor="ref_16">
        <w:r>
          <w:rPr>
            <w:color w:val="000000"/>
            <w:u w:val="single"/>
            <w:vertAlign w:val="superscript"/>
          </w:rPr>
          <w:t xml:space="preserve">[16]</w:t>
        </w:r>
      </w:hyperlink>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brooding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Idiocy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sphere of judgment.</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Yes, and the surfacing of widely different expressions that then come from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they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there was already this domestication of the phenomenon that was visible earlier in art than in politics, but which also is the case now most of these Leader Lars figures are now official spokespersons for ministries and politicians everywhere and not critically subversive projects.</w:t>
      </w:r>
    </w:p>
    <w:p>
      <w:pPr/>
      <w:bookmarkStart w:id="84" w:name="r1_012203"/>
      <w:bookmarkEnd w:id="84"/>
      <w:r>
        <w:t>So going into genre inhabitation at the moment where we still produce a negation and then move on when you could sense that the window is closed and the leak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20">
        <w:r>
          <w:rPr>
            <w:color w:val="000000"/>
            <w:u w:val="single"/>
            <w:vertAlign w:val="superscript"/>
          </w:rPr>
          <w:t xml:space="preserve">[20]</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have a threshold of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the Jesus Party or the Trump Party. And when I was reading these parties' manifestos and online materials, I was like, if I can get an AI to speak like this, then it would be an intense democratic experience because it would give the symbolic weight of the AI to the otherwise ridiculed idiotic.</w:t>
      </w:r>
    </w:p>
    <w:p>
      <w:pPr/>
      <w:bookmarkStart w:id="129" w:name="r2_002550"/>
      <w:bookmarkEnd w:id="129"/>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this might be something that is still deeply rooted in all of these service assistants’ replies that people receive from ChatGPT.</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Jair Bolsonaro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9">
        <w:r>
          <w:rPr>
            <w:color w:val="000000"/>
            <w:u w:val="single"/>
            <w:vertAlign w:val="superscript"/>
          </w:rPr>
          <w:t xml:space="preserve">[19]</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this dramaturg Emma gave a much more masterful performance of what is happening with AI today than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 is also its distinctiveness, because we have not gotten a world filled with AI politicians like Leader Lars. It is much more digital twins,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than your own in all of these conversations with users? Then that politician’s body will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to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you play with certain theorists’ melancholia, almost — a sort of end of the social, the apocalyptic imaginations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 is so interesting. I discovered that while trying to teach other people how to do the same thing as me. This was also something in the International: when we, for example, did a local AI party in Linz, someone else had to speak with the media, and he had very rational arguments.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earth.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176" w:name="r2_005803"/>
      <w:bookmarkEnd w:id="176"/>
      <w:r>
        <w:t>That also takes us to the question of totality.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Gabriele de Seta’s.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That juxtaposes, obviously, with the topic itself: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competing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 xml:space="preserve">That could maybe reorient the whole process. Of course, that is a Proustian move. When you come to the end, you have to figure out how to read the novel again. But it's also a question because it is practice-based </w:t>
      </w:r>
      <w:r>
        <w:rPr>
          <w:i/>
        </w:rPr>
        <w:t>research</w:t>
      </w:r>
      <w:r>
        <w:t>, but I wouldn't be able to answer that solely through practice. Maybe I sort of answer it through the practice that is already there in those two objects as generating the answers to the third research question,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We could continue on this so long, but we are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Concreta 23 (2024), pp. 84⁠–⁠97. Published in Spanish as “Partido sintético y líder Lars: sobre la representación algorítmica en la democracia política”.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The Nordic Journal of Aesthetics 33, no. 67 (2024), pp. 184⁠–⁠202. DOI: 10.7146/nja.v33i67.148465.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Ulf Dalvad Berthelsen, Mads Rosendahl Thomsen and Morten Tannert (eds.), Beyond the Turing Test: What Science Fiction Can Teach Us About Artificial Intelligence. Routledge, 2026. Accepted manuscript included in the dissertation.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A Peer-Reviewed Journal About (APRJA) 13, no. 1 (2024), pp. 105⁠–⁠123. DOI: 10.7146/aprja.v13i1.151235. In dissertation: pp. 207⁠–⁠233.</w:t>
      </w:r>
    </w:p>
    <w:p>
      <w:hyperlink r:id="rId14">
        <w:r>
          <w:rPr>
            <w:color w:val="000000"/>
            <w:u w:val="single"/>
          </w:rPr>
          <w:t xml:space="preserve">Article 5</w:t>
        </w:r>
      </w:hyperlink>
      <w:r>
        <w:t xml:space="preserve">. Asker Bryld Staunæs. </w:t>
      </w:r>
      <w:r>
        <w:rPr>
          <w:i/>
        </w:rPr>
        <w:t>Scripting the Spectacle: A Theory Tragedy</w:t>
      </w:r>
      <w:r>
        <w:t>. Passepartout – Uden titel, no. 16 (2026), pp. 127⁠–⁠151.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AI &amp; Society, Open Forum (2026), published 28 May 2026. DOI: 10.1007/s00146-026-03110-w.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Controversies of AI Society: Proceedings (2026), pp. 6⁠–⁠26. Aalborg University Open. Proceedings DOI: 10.54337/aau.add.scai.2026.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Alexander Bogdanov, Red Star (Красная звезда), Saint Petersburg, 1908. First-edition catalogue, National Electronic Library / Russian State Library.</w:t>
      </w:r>
      <w:r>
        <w:t xml:space="preserve"> </w:t>
      </w:r>
      <w:hyperlink r:id="rId43">
        <w:r>
          <w:rPr>
            <w:color w:val="000000"/>
            <w:u w:val="single"/>
          </w:rPr>
          <w:t xml:space="preserve">Source</w:t>
        </w:r>
      </w:hyperlink>
    </w:p>
    <w:p>
      <w:bookmarkStart w:id="219" w:name="ref_17"/>
      <w:bookmarkEnd w:id="219"/>
      <w:r>
        <w:t xml:space="preserve">17. </w:t>
      </w:r>
      <w:r>
        <w:t>Synthetic Summit, Kunsthal Aarhus; exhibition and AI World Congress, 2025.</w:t>
      </w:r>
      <w:r>
        <w:t xml:space="preserve"> </w:t>
      </w:r>
      <w:hyperlink r:id="rId44">
        <w:r>
          <w:rPr>
            <w:color w:val="000000"/>
            <w:u w:val="single"/>
          </w:rPr>
          <w:t xml:space="preserve">Source</w:t>
        </w:r>
      </w:hyperlink>
    </w:p>
    <w:p>
      <w:bookmarkStart w:id="220" w:name="ref_18"/>
      <w:bookmarkEnd w:id="220"/>
      <w:r>
        <w:t xml:space="preserve">18. </w:t>
      </w:r>
      <w:r>
        <w:t>AI: Authority of Art, Ujazdowski Castle Centre for Contemporary Art, Warsaw, 18 July–21 September 2025.</w:t>
      </w:r>
      <w:r>
        <w:t xml:space="preserve"> </w:t>
      </w:r>
      <w:hyperlink r:id="rId45">
        <w:r>
          <w:rPr>
            <w:color w:val="000000"/>
            <w:u w:val="single"/>
          </w:rPr>
          <w:t xml:space="preserve">Source</w:t>
        </w:r>
      </w:hyperlink>
      <w:r>
        <w:t xml:space="preserve"> Linz: </w:t>
      </w:r>
      <w:hyperlink r:id="rId46">
        <w:r>
          <w:rPr>
            <w:color w:val="000000"/>
            <w:u w:val="single"/>
          </w:rPr>
          <w:t xml:space="preserve">KI-DIPFIES</w:t>
        </w:r>
      </w:hyperlink>
      <w:r>
        <w:t xml:space="preserve"> · </w:t>
      </w:r>
      <w:hyperlink r:id="rId47">
        <w:r>
          <w:rPr>
            <w:color w:val="000000"/>
            <w:u w:val="single"/>
          </w:rPr>
          <w:t xml:space="preserve">KI-DIPFEL GIPFELTREFFEN</w:t>
        </w:r>
      </w:hyperlink>
    </w:p>
    <w:p>
      <w:bookmarkStart w:id="221" w:name="ref_19"/>
      <w:bookmarkEnd w:id="221"/>
      <w:r>
        <w:t xml:space="preserve">19. </w:t>
      </w:r>
      <w:r>
        <w:t>The Swedish event was Partikonvent &amp; Valvaka – AI-partiet, Inkonst, Malmö, 9–13 September 2026.</w:t>
      </w:r>
      <w:r>
        <w:t xml:space="preserve"> </w:t>
      </w:r>
      <w:hyperlink r:id="rId48">
        <w:r>
          <w:rPr>
            <w:color w:val="000000"/>
            <w:u w:val="single"/>
          </w:rPr>
          <w:t xml:space="preserve">Source</w:t>
        </w:r>
      </w:hyperlink>
    </w:p>
    <w:p>
      <w:bookmarkStart w:id="222" w:name="ref_20"/>
      <w:bookmarkEnd w:id="222"/>
      <w:r>
        <w:t xml:space="preserve">20. </w:t>
      </w:r>
      <w:r>
        <w:t>Joë Bousquet (1897–1950) was a French poet. The spoken description is retained; the identification here follows the BnF catalogue.</w:t>
      </w:r>
      <w:r>
        <w:t xml:space="preserve"> </w:t>
      </w:r>
      <w:hyperlink r:id="rId49">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rusneb.ru/catalog/000199_000009_003746695/" TargetMode="External"/><Relationship Id="rId44" Type="http://schemas.openxmlformats.org/officeDocument/2006/relationships/hyperlink" Target="https://www.kunsthalaarhus.dk/en/Events/Opening-Of-Synthetic-Summit" TargetMode="External"/><Relationship Id="rId45" Type="http://schemas.openxmlformats.org/officeDocument/2006/relationships/hyperlink" Target="https://u-jazdowski.pl/en/programme/exhibitions/ai-authority-of-art" TargetMode="External"/><Relationship Id="rId46" Type="http://schemas.openxmlformats.org/officeDocument/2006/relationships/hyperlink" Target="https://memphismemph.is/program/ki-dipfies" TargetMode="External"/><Relationship Id="rId47" Type="http://schemas.openxmlformats.org/officeDocument/2006/relationships/hyperlink" Target="https://memphismemph.is/program/ki-dipfel-gipfeltreffen" TargetMode="External"/><Relationship Id="rId48" Type="http://schemas.openxmlformats.org/officeDocument/2006/relationships/hyperlink" Target="https://inkonst.com/sv/events/partikonvent-and-valvaka-ai-partiet" TargetMode="External"/><Relationship Id="rId49"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2026-10-20T00:00:00Z</dcterms:modified>
  <cp:category/>
</cp:coreProperties>
</file>