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Edited reading transcript. Timestamps restart for recording 2. References use printed folios; the PDF page is one higher.</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his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the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r1_001543"/>
      <w:bookmarkEnd w:id="5"/>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pPr/>
      <w:bookmarkStart w:id="6" w:name="r1_001645"/>
      <w:bookmarkEnd w:id="6"/>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pPr/>
      <w:bookmarkStart w:id="7" w:name="r1_001754"/>
      <w:bookmarkEnd w:id="7"/>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pPr/>
      <w:bookmarkStart w:id="8" w:name="r1_001841"/>
      <w:bookmarkEnd w:id="8"/>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9" w:name="r1_001943"/>
      <w:bookmarkEnd w:id="9"/>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that I gave the world a party and it responded to me. Democracy’s political unthought, or how I learned to love democracy. The subtitle of my dissertation obviously paraphrases Stanley Kubrick's Dr. Strangelove, or how I learned to stop worrying and love the bomb, a farce of command routes in industrial democracy.</w:t>
      </w:r>
    </w:p>
    <w:p>
      <w:pPr/>
      <w:bookmarkStart w:id="10" w:name="r1_002032"/>
      <w:bookmarkEnd w:id="10"/>
      <w:r>
        <w:t>And more specifically, how I learned also gives away that I did not really love democracy in advance. In dominant public narratives, dominant democracy often appears as an object of worry: threatened or hollowed out, to be defended against social media platforms, AI algorithms, and the spread of fascism all around the world. And at the same time, democracy is often invoked as a legitimization formula through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11" w:name="r1_002124"/>
      <w:bookmarkEnd w:id="11"/>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and consequence are themselves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pPr/>
      <w:bookmarkStart w:id="12" w:name="r1_002219"/>
      <w:bookmarkEnd w:id="12"/>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13" w:name="r1_002322"/>
      <w:bookmarkEnd w:id="13"/>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p>
    <w:p>
      <w:pPr/>
      <w:bookmarkStart w:id="14" w:name="r1_002425"/>
      <w:bookmarkEnd w:id="14"/>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 Then the arrows of the dissertation's directional variations mark different interpretative returns to what practice has produced. And throughout the thesis there is a related methodological point behind all of these diagrams and scientific-looking objects that are used throughout the thesis.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pPr/>
      <w:bookmarkStart w:id="15" w:name="r1_002532"/>
      <w:bookmarkEnd w:id="15"/>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16" w:name="r1_002622"/>
      <w:bookmarkEnd w:id="16"/>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for machine-learning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pPr/>
      <w:bookmarkStart w:id="17" w:name="r1_002722"/>
      <w:bookmarkEnd w:id="17"/>
      <w:r>
        <w:t>I then fine-tuned that material into GPT-NeoX-20B, a 20 billion parameter autoregressive language model already pre-trained on a much vaster textual corpus. Fine-tuning did not create the model's language from scratch. It wrote the micro-party corpus into that larger linguistic machinery as a representational substrate, overfitting it towards the idiotic vernacular of small Danish parties. Idiotic in the sense of idiotes, the private person in ancient Greek democracy that was outside public affairs. At inference time, the AI model's text-completion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pPr/>
      <w:bookmarkStart w:id="18" w:name="r1_002821"/>
      <w:bookmarkEnd w:id="18"/>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19" w:name="r1_002909"/>
      <w:bookmarkEnd w:id="19"/>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is not a historical measurement of intelligence. It belongs to the formal model for which I investigate the party's relation to power and to the world. So consequently, neither article simply provides the ideology of The Synthetic Party.</w:t>
      </w:r>
      <w:hyperlink w:anchor="ref_3">
        <w:r>
          <w:rPr>
            <w:color w:val="000000"/>
            <w:u w:val="single"/>
            <w:vertAlign w:val="superscript"/>
          </w:rPr>
          <w:t xml:space="preserve">[3]</w:t>
        </w:r>
      </w:hyperlink>
    </w:p>
    <w:p>
      <w:pPr/>
      <w:bookmarkStart w:id="20" w:name="r1_003004"/>
      <w:bookmarkEnd w:id="2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20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21" w:name="r1_003129"/>
      <w:bookmarkEnd w:id="21"/>
      <w:r>
        <w:t xml:space="preserve">An index, a tag and a match were then enough to distribute Computer Lars without any AI neural network having to perform the match or any reader having to recognize the anagram at all. The database had just done its job and the newspaper can recommend attentive reading. 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p>
    <w:p>
      <w:pPr/>
      <w:bookmarkStart w:id="22" w:name="r1_003216"/>
      <w:bookmarkEnd w:id="22"/>
      <w:r>
        <w:t>You can recognize these from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pPr/>
      <w:bookmarkStart w:id="23" w:name="r1_003321"/>
      <w:bookmarkEnd w:id="23"/>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24" w:name="r1_003416"/>
      <w:bookmarkEnd w:id="24"/>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hyperlink w:anchor="ref_16">
        <w:r>
          <w:rPr>
            <w:color w:val="000000"/>
            <w:u w:val="single"/>
            <w:vertAlign w:val="superscript"/>
          </w:rPr>
          <w:t xml:space="preserve">[16]</w:t>
        </w:r>
      </w:hyperlink>
    </w:p>
    <w:p>
      <w:pPr/>
      <w:bookmarkStart w:id="25" w:name="r1_003524"/>
      <w:bookmarkEnd w:id="25"/>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in Warsaw, the original concept for my practice of technosocial sculpture was not only something I could develop myself.</w:t>
      </w:r>
      <w:hyperlink w:anchor="ref_17">
        <w:r>
          <w:rPr>
            <w:color w:val="000000"/>
            <w:u w:val="single"/>
            <w:vertAlign w:val="superscript"/>
          </w:rPr>
          <w:t xml:space="preserve">[17]</w:t>
        </w:r>
      </w:hyperlink>
    </w:p>
    <w:p>
      <w:pPr/>
      <w:bookmarkStart w:id="26" w:name="r1_003624"/>
      <w:bookmarkEnd w:id="26"/>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artist-made political parties, including the Deutsche Studentenpartei of 1967, shown here, which has the letters DSP, like Det Syntetiske Parti.</w:t>
      </w:r>
      <w:hyperlink w:anchor="ref_6">
        <w:r>
          <w:rPr>
            <w:color w:val="000000"/>
            <w:u w:val="single"/>
            <w:vertAlign w:val="superscript"/>
          </w:rPr>
          <w:t xml:space="preserve">[6]</w:t>
        </w:r>
      </w:hyperlink>
    </w:p>
    <w:p>
      <w:pPr/>
      <w:bookmarkStart w:id="27" w:name="r1_003730"/>
      <w:bookmarkEnd w:id="27"/>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I discuss quite extensively, with philosophers Bernard Stiegler and Tiziana Terranova, the technopolitical implications of social sculpture: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28" w:name="r1_003830"/>
      <w:bookmarkEnd w:id="28"/>
      <w:r>
        <w:t xml:space="preserve">My drive has led me to construct situations in which relations grow response, and I pursue the dialectics of whatever glitches in a situation to try to contain this techno-social. 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 xml:space="preserve">. And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29" w:name="r1_003924"/>
      <w:bookmarkEnd w:id="29"/>
      <w:r>
        <w:t xml:space="preserve">The summit's archive is here re-run as a dramaturgical script, filmed performance, and theoretical paper all at once. My research materials return inside the Synthetic Summit itself as dramaturgy and the curatorial self-reflection gives us lines that we can first read while we're actually performing them. My answer to </w:t>
      </w:r>
      <w:hyperlink r:id="rId18" w:tooltip="Extended synthesis · RQ2">
        <w:r>
          <w:rPr>
            <w:color w:val="000000"/>
            <w:u w:val="single"/>
          </w:rPr>
          <w:t xml:space="preserve">research question 2</w:t>
        </w:r>
      </w:hyperlink>
      <w:r>
        <w:t xml:space="preserve">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30" w:name="r1_004021"/>
      <w:bookmarkEnd w:id="30"/>
      <w:r>
        <w:t>Synthetic politics as such, where AI is staged as a figure of political representation. What orients us here, also in this recent panel we did, is the non-coincidence between AI politicians and the relations through which they acquire standing. Once candidate, representative and constituency are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hyperlink w:anchor="ref_8">
        <w:r>
          <w:rPr>
            <w:color w:val="000000"/>
            <w:u w:val="single"/>
            <w:vertAlign w:val="superscript"/>
          </w:rPr>
          <w:t xml:space="preserve">[8]</w:t>
        </w:r>
      </w:hyperlink>
    </w:p>
    <w:p>
      <w:pPr/>
      <w:bookmarkStart w:id="31" w:name="r1_004120"/>
      <w:bookmarkEnd w:id="31"/>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resemble the technical substrate ordinarily isolated as AI. This is not about information overload. Representation does not merely receive an excess of demands produced elsewhere.</w:t>
      </w:r>
      <w:hyperlink w:anchor="ref_9">
        <w:r>
          <w:rPr>
            <w:color w:val="000000"/>
            <w:u w:val="single"/>
            <w:vertAlign w:val="superscript"/>
          </w:rPr>
          <w:t xml:space="preserve">[9]</w:t>
        </w:r>
      </w:hyperlink>
    </w:p>
    <w:p>
      <w:pPr/>
      <w:bookmarkStart w:id="32" w:name="r1_004213"/>
      <w:bookmarkEnd w:id="32"/>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to which, as you remember, The Synthetic Party remains constitutively alien.</w:t>
      </w:r>
      <w:hyperlink w:anchor="ref_7">
        <w:r>
          <w:rPr>
            <w:color w:val="000000"/>
            <w:u w:val="single"/>
            <w:vertAlign w:val="superscript"/>
          </w:rPr>
          <w:t xml:space="preserve">[7]</w:t>
        </w:r>
      </w:hyperlink>
    </w:p>
    <w:p>
      <w:pPr/>
      <w:bookmarkStart w:id="33" w:name="r1_004313"/>
      <w:bookmarkEnd w:id="33"/>
      <w:r>
        <w:t>Here, The Synthetic Party's critique of parliamentarism enters a formal proposal against leaving the uptake of unrepresented voices to party mediation. Organized citizen deliberation supplies the material, and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34" w:name="r1_004415"/>
      <w:bookmarkEnd w:id="34"/>
      <w:r>
        <w:t xml:space="preserve">The collectively signed Synthetic Summit Resolution from the first World Congress again supplies a second route. The Resolution, which none of us had actually written but which emerged through our talk together, declares that democracy must always be won anew, and it calls for its code to be forked, critiqued, and collectively rewritten in pursuit of planetary justice, equity, and peace. 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11">
        <w:r>
          <w:rPr>
            <w:color w:val="000000"/>
            <w:u w:val="single"/>
            <w:vertAlign w:val="superscript"/>
          </w:rPr>
          <w:t xml:space="preserve">[11]</w:t>
        </w:r>
      </w:hyperlink>
    </w:p>
    <w:p>
      <w:pPr/>
      <w:bookmarkStart w:id="35" w:name="r1_004530"/>
      <w:bookmarkEnd w:id="35"/>
      <w:r>
        <w:t xml:space="preserve">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w:t>
      </w:r>
      <w:hyperlink r:id="rId19" w:tooltip="Extended synthesis · RQ3">
        <w:r>
          <w:rPr>
            <w:color w:val="000000"/>
            <w:u w:val="single"/>
          </w:rPr>
          <w:t xml:space="preserve">research question 3</w:t>
        </w:r>
      </w:hyperlink>
      <w:r>
        <w:t xml:space="preserve"> is that synthetic democracy generates representations where existing sites cannot organise responses into answerability. So my thinking through democracy's own disproportions has arrived somewhere that none of the research articles quite does by itself.</w:t>
      </w:r>
    </w:p>
    <w:p>
      <w:pPr/>
      <w:bookmarkStart w:id="36" w:name="r1_004632"/>
      <w:bookmarkEnd w:id="36"/>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37" w:name="r1_004723"/>
      <w:bookmarkEnd w:id="37"/>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Wiktoria, Olof, or some of the Lars-holes, must appear as a somebody with an opinion about something. In media bubbles’ algorithmically organised free exchange of interests, as well as in the art space’s production of radical agreement. And once an opinion has been supplied with a somebody, political debate then hopes to proceed as usual. How I learned to love democracy then, was not through any renewed civic faith or an affective reconciliation with the system I live in.</w:t>
      </w:r>
    </w:p>
    <w:p>
      <w:pPr/>
      <w:bookmarkStart w:id="38" w:name="r1_004817"/>
      <w:bookmarkEnd w:id="38"/>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hyperlink w:anchor="ref_10">
        <w:r>
          <w:rPr>
            <w:color w:val="000000"/>
            <w:u w:val="single"/>
            <w:vertAlign w:val="superscript"/>
          </w:rPr>
          <w:t xml:space="preserve">[10]</w:t>
        </w:r>
      </w:hyperlink>
    </w:p>
    <w:p>
      <w:pPr>
        <w:pStyle w:val="Speaker"/>
      </w:pPr>
      <w:r>
        <w:t>Stefan   00:48:44</w:t>
      </w:r>
    </w:p>
    <w:p>
      <w:pPr/>
      <w:bookmarkStart w:id="39" w:name="r1_004844"/>
      <w:bookmarkEnd w:id="39"/>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40" w:name="r1_004853"/>
      <w:bookmarkEnd w:id="40"/>
      <w:r>
        <w:t>Thank you very much. It is a pleasure to be here to discuss the thesis, which is highly original. It's daring and stimulating, really. What should also be noted is that there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41" w:name="r1_005028"/>
      <w:bookmarkEnd w:id="41"/>
      <w:r>
        <w:t xml:space="preserve">It's very different. I noticed in research, and it's mainly a political thesis, which we also became aware of here. But in </w:t>
      </w:r>
      <w:hyperlink r:id="rId18" w:tooltip="Extended synthesis · RQ2">
        <w:r>
          <w:rPr>
            <w:color w:val="000000"/>
            <w:u w:val="single"/>
          </w:rPr>
          <w:t xml:space="preserve">research question 2</w:t>
        </w:r>
      </w:hyperlink>
      <w:r>
        <w:t>,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42" w:name="r1_005115"/>
      <w:bookmarkEnd w:id="42"/>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43" w:name="r1_005153"/>
      <w:bookmarkEnd w:id="43"/>
      <w:r>
        <w:t>Absolutely, yeah. And in this sense, it has some reminiscences of the early avant-garde manifestos, but also neo-avant-garde political practices, Situationist International, as we will discuss, Joseph Beuys, etc. But also to some recent art practices with a kind of expanded concept of an artwork. And I'm thinking about artists like Ilya Kabakov, Andrea Fraser, Hito Steyerl and Walid Raad, for instance, who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44" w:name="r1_005302"/>
      <w:bookmarkEnd w:id="44"/>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45" w:name="r1_005329"/>
      <w:bookmarkEnd w:id="45"/>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from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46" w:name="r1_005435"/>
      <w:bookmarkEnd w:id="46"/>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them into AIs that acted in political situations, and then they started discussing it.</w:t>
      </w:r>
    </w:p>
    <w:p>
      <w:pPr/>
      <w:bookmarkStart w:id="47" w:name="r1_005547"/>
      <w:bookmarkEnd w:id="47"/>
      <w:r>
        <w:t>I mean, it's also a long discussion. I read the French philosopher Bernard Stiegler, who really tried to take Beuys' social sculpture into a new program for art and artistic research in this century of the Anthropocene and climate crisis and algorithms defining our terms of governance. But the philosopher's words become incredibly abstract, and he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48" w:name="r1_005633"/>
      <w:bookmarkEnd w:id="48"/>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49" w:name="r1_005714"/>
      <w:bookmarkEnd w:id="49"/>
      <w:r>
        <w:t>In a practice that basically works with permutations and taking responsibility for all of these small random ways things are put together, then it's something that I put forward quite clearly as something one could see, but I do it descriptively, because otherwise it would be motivation for starting it, and if it was just that I have seen the letters DSP somewhere, then I might, if there wasn't any further context, have stopped and gone somewhere else. So it's also about how a permutation can become recognizable, and how a permutation responds to something unique and singular, and not just to everything.</w:t>
      </w:r>
    </w:p>
    <w:p>
      <w:pPr>
        <w:pStyle w:val="Speaker"/>
      </w:pPr>
      <w:r>
        <w:t>Jan   00:57:53</w:t>
      </w:r>
    </w:p>
    <w:p>
      <w:pPr/>
      <w:bookmarkStart w:id="50" w:name="r1_005753"/>
      <w:bookmarkEnd w:id="50"/>
      <w:r>
        <w:t>But it could also be that an acronymic coincidence produces meaning.</w:t>
      </w:r>
    </w:p>
    <w:p>
      <w:pPr>
        <w:pStyle w:val="Speaker"/>
      </w:pPr>
      <w:r>
        <w:t>Asker   00:58:02</w:t>
      </w:r>
    </w:p>
    <w:p>
      <w:pPr/>
      <w:bookmarkStart w:id="51" w:name="r1_005802"/>
      <w:bookmarkEnd w:id="51"/>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52" w:name="r1_005836"/>
      <w:bookmarkEnd w:id="52"/>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53" w:name="r1_005916"/>
      <w:bookmarkEnd w:id="53"/>
      <w:r>
        <w:t>The Situationist International has a very complicated and contradictory relation to automation and technology. Dominique Routhier, a Danish philosopher, has written a brilliant book about this. But the Situationists always play on automation through very physical attacks on professors that believe that society will be turned into one big robot. So for me, I've worked a lot with the Situationists in the thesis. I also published a lot about them elsewhere for other critical projects where I think there's a correspondence between what I do and what other actors do, which I would rather attack. But thinking theoretically through the Situationists in terms of putting AI and societal infrastructures in order together often wasn’t as productive for me when I wrote it. But it was very inspiring in practice but it's also just a different time.</w:t>
      </w:r>
    </w:p>
    <w:p>
      <w:pPr/>
      <w:bookmarkStart w:id="54" w:name="r1_010024"/>
      <w:bookmarkEnd w:id="54"/>
      <w:r>
        <w:t>I didn't feel the big need to throw tomatoes at Abraham Moles that Guy Debord did at the end of the 60s. Because where would those tomatoes really go? What could we do?</w:t>
      </w:r>
    </w:p>
    <w:p>
      <w:pPr>
        <w:pStyle w:val="Speaker"/>
      </w:pPr>
      <w:r>
        <w:t>Jan   01:00:37</w:t>
      </w:r>
    </w:p>
    <w:p>
      <w:pPr/>
      <w:bookmarkStart w:id="55" w:name="r1_010037"/>
      <w:bookmarkEnd w:id="55"/>
      <w:r>
        <w:t>Yeah, one could also think about the skepticism Guy Debord had towards this practice</w:t>
      </w:r>
      <w:r>
        <w:t xml:space="preserve"> </w:t>
      </w:r>
      <w:bookmarkStart w:id="56" w:name="r1_010109"/>
      <w:bookmarkEnd w:id="56"/>
      <w:r>
        <w:t>and just to pick some short notes on relational aesthetics and Claire Bishop's concept of participation and maybe Tiqqun and Comité invisible now. But one thing that strikes me when I read the thesis but not in your presentation now is that this is maybe because those traditions are too edifying in their character. Would you agree or is it...</w:t>
      </w:r>
    </w:p>
    <w:p>
      <w:pPr>
        <w:pStyle w:val="Speaker"/>
      </w:pPr>
      <w:r>
        <w:t>Asker   01:01:51</w:t>
      </w:r>
    </w:p>
    <w:p>
      <w:pPr/>
      <w:bookmarkStart w:id="57" w:name="r1_010151"/>
      <w:bookmarkEnd w:id="57"/>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I have always positioned AI in the art space or in newspapers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I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58" w:name="r1_010318"/>
      <w:bookmarkEnd w:id="58"/>
      <w:r>
        <w:t>So I think that has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59" w:name="r1_010349"/>
      <w:bookmarkEnd w:id="59"/>
      <w:r>
        <w:t>Do I understand you correctly now when you say it's important that the artistic expression doesn't show this edifying character and have a moral of ambivalence of good or bad, that it annihilates those questions of good or bad or that it is an aesthetic first and foremost?</w:t>
      </w:r>
    </w:p>
    <w:p>
      <w:pPr>
        <w:pStyle w:val="Speaker"/>
      </w:pPr>
      <w:r>
        <w:t>Asker   01:04:12</w:t>
      </w:r>
    </w:p>
    <w:p>
      <w:pPr/>
      <w:bookmarkStart w:id="60" w:name="r1_010412"/>
      <w:bookmarkEnd w:id="60"/>
      <w:r>
        <w:t>That has been the plane of consistence that I have operated with throughout this thesis, yes.</w:t>
      </w:r>
    </w:p>
    <w:p>
      <w:pPr>
        <w:pStyle w:val="Speaker"/>
      </w:pPr>
      <w:r>
        <w:t>Jan   01:04:18</w:t>
      </w:r>
    </w:p>
    <w:p>
      <w:pPr/>
      <w:bookmarkStart w:id="61" w:name="r1_010418"/>
      <w:bookmarkEnd w:id="61"/>
      <w:r>
        <w:t>But this is maybe not the plane of consistence we’re on if we look at the project in purely political terms?</w:t>
      </w:r>
      <w:bookmarkStart w:id="62" w:name="r1_010427"/>
      <w:bookmarkEnd w:id="62"/>
    </w:p>
    <w:p>
      <w:pPr/>
      <w:bookmarkStart w:id="63" w:name="r1_010428"/>
      <w:bookmarkEnd w:id="63"/>
      <w:r>
        <w:t>The political idea seems to be edifying a new kind of form of democracy.</w:t>
      </w:r>
    </w:p>
    <w:p>
      <w:pPr>
        <w:pStyle w:val="Speaker"/>
      </w:pPr>
      <w:r>
        <w:t>Asker   01:04:36</w:t>
      </w:r>
    </w:p>
    <w:p>
      <w:pPr/>
      <w:bookmarkStart w:id="64" w:name="r1_010436"/>
      <w:bookmarkEnd w:id="64"/>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65" w:name="r1_010535"/>
      <w:bookmarkEnd w:id="65"/>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were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66" w:name="r1_010620"/>
      <w:bookmarkEnd w:id="66"/>
      <w:r>
        <w:t>I will end this part with a kind of speculation of my own. It's not a direct question, but I would love it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tech-hub, but as a central hub. Here we see, and I don't expect you to know it, but I just state that we see the scripted absurd forces, and now I'm quoting the wordings in the thesis, acting out a tragedy of theory in the form of bureaucratic liturgy.</w:t>
      </w:r>
    </w:p>
    <w:p>
      <w:pPr/>
      <w:bookmarkStart w:id="67" w:name="r1_010720"/>
      <w:bookmarkEnd w:id="67"/>
      <w:r>
        <w:t>To be the basis for a post-farce protocol of interpretations, loops, recurrence, and comments in a spectacular scriptogenesis.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Brezhnev’s Soviet Union, after the Thaw. And they couldn't express or even exhibit art, et cetera, and develop this form of communication in a grotesque, comic, bureaucratic, forced, farcical theory way.</w:t>
      </w:r>
    </w:p>
    <w:p>
      <w:pPr/>
      <w:bookmarkStart w:id="68" w:name="r1_010837"/>
      <w:bookmarkEnd w:id="68"/>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69" w:name="r1_010858"/>
      <w:bookmarkEnd w:id="69"/>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70" w:name="r1_011001"/>
      <w:bookmarkEnd w:id="70"/>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confined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71" w:name="r1_011049"/>
      <w:bookmarkEnd w:id="71"/>
      <w:r>
        <w:t>And I think that applies well to all dissidents in totalitarian regimes, all people who just think of themselves as dissidents, such as Bolsonaro. The Russian background of cybernetic thought in politics and avant-garde art is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1914, but the descriptions he made are still of computers. That is also something that I pursued, that there is a cultural myth that I immediately bought into by launching this project that makes this a recurring experience.</w:t>
      </w:r>
    </w:p>
    <w:p>
      <w:pPr/>
      <w:bookmarkStart w:id="72" w:name="r1_011157"/>
      <w:bookmarkEnd w:id="72"/>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73" w:name="r1_011241"/>
      <w:bookmarkEnd w:id="73"/>
      <w:r>
        <w:t>Now I'll turn to this triangle a little bit, a thing that I've been brooding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74" w:name="r1_011346"/>
      <w:bookmarkEnd w:id="74"/>
      <w:r>
        <w:t>This is something we know. Here, you have introduced the concept of synthesis, and this is thematized in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75" w:name="r1_011516"/>
      <w:bookmarkEnd w:id="75"/>
      <w:r>
        <w:t>has to do with ideology, maybe. And ideology is here turned toward ideology in its philosophical sense. Idiocy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76" w:name="r1_011634"/>
      <w:bookmarkEnd w:id="76"/>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sphere of judgment.</w:t>
      </w:r>
    </w:p>
    <w:p>
      <w:pPr>
        <w:pStyle w:val="Speaker"/>
      </w:pPr>
      <w:r>
        <w:t>Asker   01:17:12</w:t>
      </w:r>
    </w:p>
    <w:p>
      <w:pPr/>
      <w:bookmarkStart w:id="77" w:name="r1_011712"/>
      <w:bookmarkEnd w:id="77"/>
      <w:r>
        <w:t>Of Valéry, of course.</w:t>
      </w:r>
    </w:p>
    <w:p>
      <w:pPr>
        <w:pStyle w:val="Speaker"/>
      </w:pPr>
      <w:r>
        <w:t>Jan   01:17:15</w:t>
      </w:r>
    </w:p>
    <w:p>
      <w:pPr/>
      <w:bookmarkStart w:id="78" w:name="r1_011715"/>
      <w:bookmarkEnd w:id="78"/>
      <w:r>
        <w:t xml:space="preserve">Yeah, yeah, in Adorno’s essay,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20"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79" w:name="r1_011826"/>
      <w:bookmarkEnd w:id="79"/>
      <w:r>
        <w:t>Is it correct? Yes, and then the thesis of your work is The Synthetic Party aspires to the first, that is autonomy, through the second, that is The Synthetic Party aspires to artistic autonomy through Kitsch, or as you write, technological autonomy. Is it correct to read it that way? Technological autonomy as a form of Kitsch or synthetic art.</w:t>
      </w:r>
    </w:p>
    <w:p>
      <w:pPr>
        <w:pStyle w:val="Speaker"/>
      </w:pPr>
      <w:r>
        <w:t>Asker   01:19:10</w:t>
      </w:r>
    </w:p>
    <w:p>
      <w:pPr/>
      <w:bookmarkStart w:id="80" w:name="r1_011910"/>
      <w:bookmarkEnd w:id="80"/>
      <w:r>
        <w:t>Yes.</w:t>
      </w:r>
    </w:p>
    <w:p>
      <w:pPr>
        <w:pStyle w:val="Speaker"/>
      </w:pPr>
      <w:r>
        <w:t>Jan   01:19:10</w:t>
      </w:r>
    </w:p>
    <w:p>
      <w:pPr/>
      <w:bookmarkStart w:id="81" w:name="r1_011910_2"/>
      <w:bookmarkEnd w:id="81"/>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82" w:name="r1_011956"/>
      <w:bookmarkEnd w:id="82"/>
      <w:r>
        <w:t>Yes, and the surfacing of widely different expressions that then come from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they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83" w:name="r1_012108"/>
      <w:bookmarkEnd w:id="83"/>
      <w:r>
        <w:t>But it was often a very practical problem for me that The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there was already this domestication of the phenomenon that was visible earlier in art than in politics, but which also is the case now most of these Leader Lars figures are now official spokespersons for ministries and politicians everywhere and not critically subversive projects.</w:t>
      </w:r>
    </w:p>
    <w:p>
      <w:pPr/>
      <w:bookmarkStart w:id="84" w:name="r1_012203"/>
      <w:bookmarkEnd w:id="84"/>
      <w:r>
        <w:t>So going into genre inhabitation at the moment where we still produce a negation and then move on when you could sense that the window is closed and the leak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85" w:name="r1_012312"/>
      <w:bookmarkEnd w:id="85"/>
      <w:r>
        <w:t xml:space="preserve">But what I suspect is that there's an idea of interpretation here that is novel and you say once on </w:t>
      </w:r>
      <w:hyperlink r:id="rId21"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by hearing what you have to say because I said initially that there are some productive elements in the thesis as well which interest me a lot and which I think are a great contribution to scholarship, humanistic scholarship in general. As in the </w:t>
      </w:r>
      <w:hyperlink r:id="rId18" w:tooltip="Extended synthesis · RQ2">
        <w:r>
          <w:rPr>
            <w:color w:val="000000"/>
            <w:u w:val="single"/>
          </w:rPr>
          <w:t xml:space="preserve">research question 2</w:t>
        </w:r>
      </w:hyperlink>
      <w:r>
        <w:t xml:space="preserve"> it is phrased through artistic and academic thinking or forms.</w:t>
      </w:r>
    </w:p>
    <w:p>
      <w:pPr>
        <w:pStyle w:val="Speaker"/>
      </w:pPr>
      <w:r>
        <w:t>Asker   01:24:17</w:t>
      </w:r>
    </w:p>
    <w:p>
      <w:pPr/>
      <w:bookmarkStart w:id="86" w:name="r1_012417"/>
      <w:bookmarkEnd w:id="86"/>
      <w:r>
        <w:t>Mediation.</w:t>
      </w:r>
    </w:p>
    <w:p>
      <w:pPr>
        <w:pStyle w:val="Speaker"/>
      </w:pPr>
      <w:r>
        <w:t>Jan   01:24:18</w:t>
      </w:r>
    </w:p>
    <w:p>
      <w:pPr/>
      <w:bookmarkStart w:id="87" w:name="r1_012418"/>
      <w:bookmarkEnd w:id="87"/>
      <w:r>
        <w:t>Mediation, thank you. So the question is on methods here because I mentioned this acronymic method. Guy Debord is usually referred to by association or wordplay and there is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88" w:name="r1_012537"/>
      <w:bookmarkEnd w:id="88"/>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89" w:name="r1_012644"/>
      <w:bookmarkEnd w:id="89"/>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90" w:name="r1_012734"/>
      <w:bookmarkEnd w:id="90"/>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91" w:name="r1_012757"/>
      <w:bookmarkEnd w:id="91"/>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92" w:name="r1_012824"/>
      <w:bookmarkEnd w:id="92"/>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93" w:name="r2_000229"/>
      <w:bookmarkEnd w:id="93"/>
      <w:r>
        <w:t>Right, we are back now from a break and we have had no external opponents today, so we will move straight to our second official opponent, Sine.</w:t>
      </w:r>
    </w:p>
    <w:p>
      <w:pPr>
        <w:pStyle w:val="Speaker"/>
      </w:pPr>
      <w:r>
        <w:t>Sine   00:02:38</w:t>
      </w:r>
    </w:p>
    <w:p>
      <w:pPr/>
      <w:bookmarkStart w:id="94" w:name="r2_000238"/>
      <w:bookmarkEnd w:id="94"/>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as a final precursor or caveat, given that I'm going to think of this as mostly artistic and then read it as politics, there's also this cliché of don't ask the artists to interpret their work.</w:t>
      </w:r>
    </w:p>
    <w:p>
      <w:pPr/>
      <w:bookmarkStart w:id="95" w:name="r2_000334"/>
      <w:bookmarkEnd w:id="95"/>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Let's see. We're going to start with the body and then go through meaning and mind towards AI and technology, society and democracy, and then maybe end back at the body. That's the proposed journey. And we will see how far, and maybe we deviate along the way.</w:t>
      </w:r>
    </w:p>
    <w:p>
      <w:pPr/>
      <w:bookmarkStart w:id="96" w:name="r2_000442"/>
      <w:bookmarkEnd w:id="96"/>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97" w:name="r2_000548"/>
      <w:bookmarkEnd w:id="97"/>
      <w:r>
        <w:t>So I'm just wondering if you would like to keep us reflecting on your role in this project.</w:t>
      </w:r>
    </w:p>
    <w:p>
      <w:pPr>
        <w:pStyle w:val="Speaker"/>
      </w:pPr>
      <w:r>
        <w:t>Asker   00:05:58</w:t>
      </w:r>
    </w:p>
    <w:p>
      <w:pPr/>
      <w:bookmarkStart w:id="98" w:name="r2_000558"/>
      <w:bookmarkEnd w:id="98"/>
      <w:r>
        <w:t>Yeah, okay. And I think in many senses the extended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99" w:name="r2_000655"/>
      <w:bookmarkEnd w:id="99"/>
      <w:r>
        <w:t>What is the role of the natural person here? Because then we already see the first abstraction of what my body can be as someone who signs and has a name, right? And then I thought, no, it's interesting to call it the meat avatar. And then, quite early on, I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00" w:name="r2_000741"/>
      <w:bookmarkEnd w:id="100"/>
      <w:r>
        <w:t>And that's important. But there's not an opposition yet at the level of bodies. There are bodies everywhere. This is also a body of sorts. But there is one between the human and the digital body. And then in some senses it's very clear that it also tries to perform a certain form of exhaustion and vulnerability: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01" w:name="r2_000834"/>
      <w:bookmarkEnd w:id="101"/>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hyperlink w:anchor="ref_19">
        <w:r>
          <w:rPr>
            <w:color w:val="000000"/>
            <w:u w:val="single"/>
            <w:vertAlign w:val="superscript"/>
          </w:rPr>
          <w:t xml:space="preserve">[19]</w:t>
        </w:r>
      </w:hyperlink>
    </w:p>
    <w:p>
      <w:pPr/>
      <w:bookmarkStart w:id="102" w:name="r2_000924"/>
      <w:bookmarkEnd w:id="102"/>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03" w:name="r2_000952"/>
      <w:bookmarkEnd w:id="103"/>
      <w:r>
        <w:t>Where I would like us to take this discussion, because it's again in relation to democracy, and there are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04" w:name="r2_001042"/>
      <w:bookmarkEnd w:id="104"/>
      <w:r>
        <w:t>And then of course also the type of responsibility that you're taking for this work. I think those are two quite big questions. Maybe with the societal one in terms of if we think of democracy as a sort of responsibility that we have towards each other,</w:t>
      </w:r>
      <w:r>
        <w:t xml:space="preserve"> </w:t>
      </w:r>
      <w:bookmarkStart w:id="105" w:name="r2_001113"/>
      <w:bookmarkEnd w:id="105"/>
      <w:r>
        <w:t>does that change anything in terms of how you understand it?</w:t>
      </w:r>
    </w:p>
    <w:p>
      <w:pPr>
        <w:pStyle w:val="Speaker"/>
      </w:pPr>
      <w:r>
        <w:t>Asker   00:11:20</w:t>
      </w:r>
    </w:p>
    <w:p>
      <w:pPr/>
      <w:bookmarkStart w:id="106" w:name="r2_001120"/>
      <w:bookmarkEnd w:id="106"/>
      <w:r>
        <w:t>Yeah, I think one of the interesting paradoxes of democracy, also in relation to maybe authoritarian forms of rule, is that in my analysis of Claude Lefort, for example, the French philosopher, democracy has this continuous disincorporation. There's no single body that can rule. There's always a de-embodiment going on in democracy. Also, as soon as we have elections and we are supposed to express our popular will together, the social body dissolves into numbers and into individuals. So democracy works with many paradoxes of the body. In some senses, of course, it also retains some in saying that a body is something that you can impose certain consequences and punishment on, right?</w:t>
      </w:r>
    </w:p>
    <w:p>
      <w:pPr/>
      <w:bookmarkStart w:id="107" w:name="r2_001221"/>
      <w:bookmarkEnd w:id="107"/>
      <w:r>
        <w:t>It's difficult to punish an AI politician. You can update it, but it can still be the same. That's also what Leader Lars...</w:t>
      </w:r>
    </w:p>
    <w:p>
      <w:pPr>
        <w:pStyle w:val="Speaker"/>
      </w:pPr>
      <w:r>
        <w:t>Sine   00:12:30</w:t>
      </w:r>
    </w:p>
    <w:p>
      <w:pPr/>
      <w:bookmarkStart w:id="108" w:name="r2_001230"/>
      <w:bookmarkEnd w:id="108"/>
      <w:r>
        <w:t>Is he afraid of?</w:t>
      </w:r>
    </w:p>
    <w:p>
      <w:pPr>
        <w:pStyle w:val="Speaker"/>
      </w:pPr>
      <w:r>
        <w:t>Asker   00:12:33</w:t>
      </w:r>
    </w:p>
    <w:p>
      <w:pPr/>
      <w:bookmarkStart w:id="109" w:name="r2_001233"/>
      <w:bookmarkEnd w:id="109"/>
      <w:r>
        <w:t>No, he seems quite happy about it. In many of the AI science-fiction things, it would always be something they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10" w:name="r2_001328"/>
      <w:bookmarkEnd w:id="11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and therefore help guide the discussion, which I hope proved necessary also from a moral perspective, because there have of course been very many vulnerable individuals from all around the world that have been entangled in this project and with whom I have had discussions, talk with people who think that Leader Lars cannot exist, it might be you who does it, or it can see this topic from some form of AI psychosis. And there you cannot,</w:t>
      </w:r>
      <w:r>
        <w:t xml:space="preserve"> </w:t>
      </w:r>
      <w:bookmarkStart w:id="111" w:name="r2_001457"/>
      <w:bookmarkEnd w:id="111"/>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112" w:name="r2_001517"/>
      <w:bookmarkEnd w:id="112"/>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113" w:name="r2_001600"/>
      <w:bookmarkEnd w:id="113"/>
      <w:r>
        <w:t>That makes a huge difference. Also in practical terms of writing the thesis, I spent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14" w:name="r2_001655"/>
      <w:bookmarkEnd w:id="114"/>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long-lasting cultural legacy of this weird concept of intelligence that humans have construed in order to put our distinctiveness into a measurable scale.</w:t>
      </w:r>
    </w:p>
    <w:p>
      <w:pPr>
        <w:pStyle w:val="Speaker"/>
      </w:pPr>
      <w:r>
        <w:t>Sine   00:18:06</w:t>
      </w:r>
    </w:p>
    <w:p>
      <w:pPr/>
      <w:bookmarkStart w:id="115" w:name="r2_001806"/>
      <w:bookmarkEnd w:id="115"/>
      <w:r>
        <w:t>And I think that takes us back to the second strand of the question of responsibility, which is really in the straightforward understanding of democracy that would be the politician who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have a threshold of a certain size and we'll get back to that size and of course that matters in terms of the unrepresented.</w:t>
      </w:r>
    </w:p>
    <w:p>
      <w:pPr/>
      <w:bookmarkStart w:id="116" w:name="r2_001912"/>
      <w:bookmarkEnd w:id="116"/>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117" w:name="r2_001958"/>
      <w:bookmarkEnd w:id="117"/>
      <w:r>
        <w:t>General and popular understandings that I'm always also engaged in trying to deconstruct.</w:t>
      </w:r>
    </w:p>
    <w:p>
      <w:pPr>
        <w:pStyle w:val="Speaker"/>
      </w:pPr>
      <w:r>
        <w:t>Sine   00:20:03</w:t>
      </w:r>
    </w:p>
    <w:p>
      <w:pPr/>
      <w:bookmarkStart w:id="118" w:name="r2_002003"/>
      <w:bookmarkEnd w:id="118"/>
      <w:r>
        <w:t>So representation and participation do not create a responsible society, and your responsibility is actually to call that out?</w:t>
      </w:r>
    </w:p>
    <w:p>
      <w:pPr>
        <w:pStyle w:val="Speaker"/>
      </w:pPr>
      <w:r>
        <w:t>Asker   00:20:17</w:t>
      </w:r>
    </w:p>
    <w:p>
      <w:pPr/>
      <w:bookmarkStart w:id="119" w:name="r2_002017"/>
      <w:bookmarkEnd w:id="119"/>
      <w:r>
        <w:t>There's an element of calling out, and then there's also an element of staying quite close to where these representations are maybe more creative than one imagines. So I had a lot of fruitful fun with the German democracy theorist, the populist theorist Jan-Werner Müller's book Democracy Rules, which is this big defense of democracy against populism, etc. But written in intellectual history, and when he defines an old sci-fi novel by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12">
        <w:r>
          <w:rPr>
            <w:color w:val="000000"/>
            <w:u w:val="single"/>
            <w:vertAlign w:val="superscript"/>
          </w:rPr>
          <w:t xml:space="preserve">[12]</w:t>
        </w:r>
      </w:hyperlink>
    </w:p>
    <w:p>
      <w:pPr/>
      <w:bookmarkStart w:id="120" w:name="r2_002111"/>
      <w:bookmarkEnd w:id="12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 because then you could also have creative democratic imaginaries developing even though you don't have any members anymore.</w:t>
      </w:r>
    </w:p>
    <w:p>
      <w:pPr/>
      <w:bookmarkStart w:id="121" w:name="r2_002209"/>
      <w:bookmarkEnd w:id="121"/>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122" w:name="r2_002234"/>
      <w:bookmarkEnd w:id="122"/>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123" w:name="r2_002330"/>
      <w:bookmarkEnd w:id="123"/>
      <w:r>
        <w:t>Synthetic parties, yes.</w:t>
      </w:r>
    </w:p>
    <w:p>
      <w:pPr>
        <w:pStyle w:val="Speaker"/>
      </w:pPr>
      <w:r>
        <w:t>Sine   00:23:32</w:t>
      </w:r>
    </w:p>
    <w:p>
      <w:pPr/>
      <w:bookmarkStart w:id="124" w:name="r2_002332"/>
      <w:bookmarkEnd w:id="124"/>
      <w:r>
        <w:t>The Synthetic Party says that they represent the people who don't vote.</w:t>
      </w:r>
    </w:p>
    <w:p>
      <w:pPr>
        <w:pStyle w:val="Speaker"/>
      </w:pPr>
      <w:r>
        <w:t>Asker   00:23:37</w:t>
      </w:r>
    </w:p>
    <w:p>
      <w:pPr/>
      <w:bookmarkStart w:id="125" w:name="r2_002337"/>
      <w:bookmarkEnd w:id="125"/>
      <w:r>
        <w:t>It’s also related to the dissertation, and I'm trying to make it very clear that there's an element within The Synthetic Party that I cannot transfer one to one in a critical dissertation, because it is stipulative in character, rather than sociological, for example.</w:t>
      </w:r>
    </w:p>
    <w:p>
      <w:pPr>
        <w:pStyle w:val="Speaker"/>
      </w:pPr>
      <w:r>
        <w:t>Sine   00:23:53</w:t>
      </w:r>
    </w:p>
    <w:p>
      <w:pPr/>
      <w:bookmarkStart w:id="126" w:name="r2_002353"/>
      <w:bookmarkEnd w:id="126"/>
      <w:r>
        <w:t>But then why did you decide that that would be the principle?</w:t>
      </w:r>
    </w:p>
    <w:p>
      <w:pPr>
        <w:pStyle w:val="Speaker"/>
      </w:pPr>
      <w:r>
        <w:t>Asker   00:23:59</w:t>
      </w:r>
    </w:p>
    <w:p>
      <w:pPr/>
      <w:bookmarkStart w:id="127" w:name="r2_002359"/>
      <w:bookmarkEnd w:id="127"/>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incorrectly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128" w:name="r2_002455"/>
      <w:bookmarkEnd w:id="128"/>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the Jesus Party or the Trump Party. And when I was reading these parties' manifestos and online materials, I was like, if I can get an AI to speak like this, then it would be an intense democratic experience because it would give the symbolic weight of the AI to the otherwise ridiculed idiotic.</w:t>
      </w:r>
    </w:p>
    <w:p>
      <w:pPr/>
      <w:bookmarkStart w:id="129" w:name="r2_002550"/>
      <w:bookmarkEnd w:id="129"/>
      <w:r>
        <w:t>So it was also a way to attempt to elevate something that I thought was maybe valuable because these are political citizens who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130" w:name="r2_002643"/>
      <w:bookmarkEnd w:id="130"/>
      <w:r>
        <w:t>And this might be something that is still deeply rooted in all of these service assistants’ replies that people receive from ChatGPT.</w:t>
      </w:r>
    </w:p>
    <w:p>
      <w:pPr>
        <w:pStyle w:val="Speaker"/>
      </w:pPr>
      <w:r>
        <w:t>Sine   00:26:52</w:t>
      </w:r>
    </w:p>
    <w:p>
      <w:pPr/>
      <w:bookmarkStart w:id="131" w:name="r2_002652"/>
      <w:bookmarkEnd w:id="131"/>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a little Samaritan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132" w:name="r2_002747"/>
      <w:bookmarkEnd w:id="132"/>
      <w:r>
        <w:t>If I could have done in 2022 what the technology can do today?</w:t>
      </w:r>
    </w:p>
    <w:p>
      <w:pPr>
        <w:pStyle w:val="Speaker"/>
      </w:pPr>
      <w:r>
        <w:t>Sine   00:27:52</w:t>
      </w:r>
    </w:p>
    <w:p>
      <w:pPr/>
      <w:bookmarkStart w:id="133" w:name="r2_002752"/>
      <w:bookmarkEnd w:id="133"/>
      <w:r>
        <w:t>Yeah, producing something that makes it represent all the unrepresented in Denmark.</w:t>
      </w:r>
    </w:p>
    <w:p>
      <w:pPr>
        <w:pStyle w:val="Speaker"/>
      </w:pPr>
      <w:r>
        <w:t>Asker   00:27:58</w:t>
      </w:r>
    </w:p>
    <w:p>
      <w:pPr/>
      <w:bookmarkStart w:id="134" w:name="r2_002758"/>
      <w:bookmarkEnd w:id="134"/>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he was brilliant, he was just like an older Olof Palme. And I really tried to ask people, but you see, you have these books over there, can't you just try to write down what he says compared with the books?</w:t>
      </w:r>
      <w:hyperlink w:anchor="ref_18">
        <w:r>
          <w:rPr>
            <w:color w:val="000000"/>
            <w:u w:val="single"/>
            <w:vertAlign w:val="superscript"/>
          </w:rPr>
          <w:t xml:space="preserve">[18]</w:t>
        </w:r>
      </w:hyperlink>
    </w:p>
    <w:p>
      <w:pPr/>
      <w:bookmarkStart w:id="135" w:name="r2_002844"/>
      <w:bookmarkEnd w:id="135"/>
      <w:r>
        <w:t>It's not the same reasoning. Olof Palme was incredibly well educated and recited French poems when he was four. And this is just some Claude slop. That sounds convincing because it's got his voice. So no, I personally probably couldn't do it, but I thought this dramaturg Emma gave a much more masterful performance of what is happening with AI today than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136" w:name="r2_002932"/>
      <w:bookmarkEnd w:id="136"/>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137" w:name="r2_003015"/>
      <w:bookmarkEnd w:id="137"/>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those would be her political beliefs. So there's a similar unstable position there, an impossible position. The others are vastly different. AI Mayor of Japan is very much concerned with the idea that it's good to have an AI as candidate because if you don't win the election then it's a huge embarrassment and then your wife will leave you and you will lose your job.</w:t>
      </w:r>
    </w:p>
    <w:p>
      <w:pPr/>
      <w:bookmarkStart w:id="138" w:name="r2_003111"/>
      <w:bookmarkEnd w:id="138"/>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139" w:name="r2_003210"/>
      <w:bookmarkEnd w:id="139"/>
      <w:r>
        <w:t>There is also its distinctiveness, because we have not gotten a world filled with AI politicians like Leader Lars. It is much more digital twins,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than your own in all of these conversations with users? Then that politician’s body will also be exposed to having to think very differently about how you put together an opinion, what your basis is in relation to constituency, all of that.</w:t>
      </w:r>
    </w:p>
    <w:p>
      <w:pPr>
        <w:pStyle w:val="Speaker"/>
      </w:pPr>
      <w:r>
        <w:t>Sine   00:33:01</w:t>
      </w:r>
    </w:p>
    <w:p>
      <w:pPr/>
      <w:bookmarkStart w:id="140" w:name="r2_003301"/>
      <w:bookmarkEnd w:id="140"/>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141" w:name="r2_003333"/>
      <w:bookmarkEnd w:id="141"/>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142" w:name="r2_003419"/>
      <w:bookmarkEnd w:id="142"/>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the technology and its relationship to your project. So for those of you who don't know, Emily Bender is a quite famous critic of everything AI.</w:t>
      </w:r>
      <w:hyperlink w:anchor="ref_13">
        <w:r>
          <w:rPr>
            <w:color w:val="000000"/>
            <w:u w:val="single"/>
            <w:vertAlign w:val="superscript"/>
          </w:rPr>
          <w:t xml:space="preserve">[13]</w:t>
        </w:r>
      </w:hyperlink>
    </w:p>
    <w:p>
      <w:pPr/>
      <w:bookmarkStart w:id="143" w:name="r2_003520"/>
      <w:bookmarkEnd w:id="143"/>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144" w:name="r2_003538"/>
      <w:bookmarkEnd w:id="144"/>
      <w:r>
        <w:t>Stochastic permutation machine. I would never say “parrot”, because that would be unfair to parrots.</w:t>
      </w:r>
    </w:p>
    <w:p>
      <w:pPr>
        <w:pStyle w:val="Speaker"/>
      </w:pPr>
      <w:r>
        <w:t>Sine   00:35:47</w:t>
      </w:r>
    </w:p>
    <w:p>
      <w:pPr/>
      <w:bookmarkStart w:id="145" w:name="r2_003547"/>
      <w:bookmarkEnd w:id="145"/>
      <w:r>
        <w:t>Stochastic permutation machine, which kind of indicates that your position on the technology is very aligned with Bender's. But she was quite critical of The Synthetic Party and I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146" w:name="r2_003656"/>
      <w:bookmarkEnd w:id="146"/>
      <w:r>
        <w:t>Would your preferred option be to abolish them? Or do you think that they have a use in society? If so?</w:t>
      </w:r>
    </w:p>
    <w:p>
      <w:pPr>
        <w:pStyle w:val="Speaker"/>
      </w:pPr>
      <w:r>
        <w:t>Asker   00:37:13</w:t>
      </w:r>
    </w:p>
    <w:p>
      <w:pPr/>
      <w:bookmarkStart w:id="147" w:name="r2_003713"/>
      <w:bookmarkEnd w:id="147"/>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In other artistic projects, I have also been using machines to create new forms of knowledge, of emancipation, to formal experiments, which are all generative in another sense than just producing more things, but of making things different continuously.</w:t>
      </w:r>
    </w:p>
    <w:p>
      <w:pPr/>
      <w:bookmarkStart w:id="148" w:name="r2_003809"/>
      <w:bookmarkEnd w:id="148"/>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That was your first question.</w:t>
      </w:r>
    </w:p>
    <w:p>
      <w:pPr>
        <w:pStyle w:val="Speaker"/>
      </w:pPr>
      <w:r>
        <w:t>Sine   00:39:02</w:t>
      </w:r>
    </w:p>
    <w:p>
      <w:pPr/>
      <w:bookmarkStart w:id="149" w:name="r2_003902"/>
      <w:bookmarkEnd w:id="149"/>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150" w:name="r2_004020"/>
      <w:bookmarkEnd w:id="150"/>
      <w:r>
        <w:t>What, having learned from your work and learned to appreciate that, what does that mean now? I mean, I want to end with a word.</w:t>
      </w:r>
    </w:p>
    <w:p>
      <w:pPr>
        <w:pStyle w:val="Speaker"/>
      </w:pPr>
      <w:r>
        <w:t>Asker   00:40:41</w:t>
      </w:r>
    </w:p>
    <w:p>
      <w:pPr/>
      <w:bookmarkStart w:id="151" w:name="r2_004041"/>
      <w:bookmarkEnd w:id="151"/>
      <w:r>
        <w:t>I think it's important that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to update Japanese democracy.</w:t>
      </w:r>
    </w:p>
    <w:p>
      <w:pPr/>
      <w:bookmarkStart w:id="152" w:name="r2_004205"/>
      <w:bookmarkEnd w:id="152"/>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means that most interventions with AI can still happen, or should be incredibly targeted, I think.</w:t>
      </w:r>
    </w:p>
    <w:p>
      <w:pPr>
        <w:pStyle w:val="Speaker"/>
      </w:pPr>
      <w:r>
        <w:t>Sine   00:43:19</w:t>
      </w:r>
    </w:p>
    <w:p>
      <w:pPr/>
      <w:bookmarkStart w:id="153" w:name="r2_004319"/>
      <w:bookmarkEnd w:id="153"/>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154" w:name="r2_004350"/>
      <w:bookmarkEnd w:id="154"/>
      <w:r>
        <w:t>If we could figure out how to do democracy better, I wouldn’t say continue, because that…</w:t>
      </w:r>
    </w:p>
    <w:p>
      <w:pPr>
        <w:pStyle w:val="Speaker"/>
      </w:pPr>
      <w:r>
        <w:t>Sine   00:43:57</w:t>
      </w:r>
    </w:p>
    <w:p>
      <w:pPr/>
      <w:bookmarkStart w:id="155" w:name="r2_004357"/>
      <w:bookmarkEnd w:id="155"/>
      <w:r>
        <w:t>Begin!</w:t>
      </w:r>
    </w:p>
    <w:p>
      <w:pPr>
        <w:pStyle w:val="Speaker"/>
      </w:pPr>
      <w:r>
        <w:t>Stefan   00:44:05</w:t>
      </w:r>
    </w:p>
    <w:p>
      <w:pPr/>
      <w:bookmarkStart w:id="156" w:name="r2_004405"/>
      <w:bookmarkEnd w:id="156"/>
      <w:r>
        <w:t>Thank you, Sine.</w:t>
      </w:r>
    </w:p>
    <w:p w14:paraId="3961C0C7" w14:textId="77777777" w:rsidR="0060076D" w:rsidRDefault="00000000">
      <w:pPr>
        <w:pStyle w:val="Heading2"/>
      </w:pPr>
      <w:r>
        <w:t>Discussion with Jussi Parikka</w:t>
      </w:r>
    </w:p>
    <w:p>
      <w:pPr>
        <w:pStyle w:val="Speaker"/>
      </w:pPr>
      <w:r>
        <w:t>Jussi   00:44:34</w:t>
      </w:r>
    </w:p>
    <w:p>
      <w:pPr/>
      <w:bookmarkStart w:id="157" w:name="r2_004434"/>
      <w:bookmarkEnd w:id="157"/>
      <w:r>
        <w:t>I refrain from the puns that would be the low-hanging ones, you know — what is the percentage of AI killing humanity, as per recent AI discourse, which I find silly.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p>
    <w:p>
      <w:pPr>
        <w:pStyle w:val="Speaker"/>
      </w:pPr>
      <w:r>
        <w:t>Asker   00:45:14</w:t>
      </w:r>
    </w:p>
    <w:p>
      <w:pPr/>
      <w:bookmarkStart w:id="158" w:name="r2_004514"/>
      <w:bookmarkEnd w:id="158"/>
      <w:r>
        <w:t>Good.</w:t>
      </w:r>
    </w:p>
    <w:p>
      <w:pPr>
        <w:pStyle w:val="Speaker"/>
      </w:pPr>
      <w:r>
        <w:t>Jussi   00:45:16</w:t>
      </w:r>
    </w:p>
    <w:p>
      <w:pPr/>
      <w:bookmarkStart w:id="159" w:name="r2_004516"/>
      <w:bookmarkEnd w:id="159"/>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160" w:name="r2_004556"/>
      <w:bookmarkEnd w:id="160"/>
      <w:r>
        <w:t>And you talked about it on the multiple registers that I, not correspondence, but relation, and you're setting up these systems that are in movement and you need to make sure that they are still here and there as well. And so that it comes out as an actual PhD that is recognizable as research. And to me, that is really interesting. It's about all those kinds of different registers on which you move. And on the one hand, on a theoretical level, you play with certain theorists’ melancholia, almost — a sort of end of the social, the apocalyptic imaginations about technology. And yet at the same time, I think everybody in the room agrees as well.</w:t>
      </w:r>
    </w:p>
    <w:p>
      <w:pPr/>
      <w:bookmarkStart w:id="161" w:name="r2_004642"/>
      <w:bookmarkEnd w:id="161"/>
      <w:r>
        <w:t>The ones who, especially who have read your work or seen your comments or witnessed any of this as well, that there's a deep sort of like energetic humor that runs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162" w:name="r2_004728"/>
      <w:bookmarkEnd w:id="162"/>
      <w:r>
        <w:t>So what is the affect of your research? Do you ponder about this? Is this a meaningful way of approaching the way you conduct research as artistic research?</w:t>
      </w:r>
    </w:p>
    <w:p>
      <w:pPr>
        <w:pStyle w:val="Speaker"/>
      </w:pPr>
      <w:r>
        <w:t>Asker   00:47:40</w:t>
      </w:r>
    </w:p>
    <w:p>
      <w:pPr/>
      <w:bookmarkStart w:id="163" w:name="r2_004740"/>
      <w:bookmarkEnd w:id="163"/>
      <w:r>
        <w:t>That is so interesting. I discovered that while trying to teach other people how to do the same thing as me. This was also something in the International: when we, for example, did a local AI party in Linz, someone else had to speak with the media, and he had very rational arguments. I was like, just speak from the heart. Just say whatever comes to mind, they will interpret it. Of course, there's a feeling of the grotesque. I don't know if the grotesque is an affect. When you say the affect, you know, sometimes you say there are six affects and I could expand it to 30. I have a deep embedment in the scholarly tradition of Pantagruelism from the carnival.</w:t>
      </w:r>
    </w:p>
    <w:p>
      <w:pPr/>
      <w:bookmarkStart w:id="164" w:name="r2_004836"/>
      <w:bookmarkEnd w:id="164"/>
      <w:r>
        <w:t>Scholarship is something that has to do with drinking wine and saying impossible words because you are a giant that needs to have some contact with the earth. That tradition is very interesting because it is in a constant dialogue with itself. So in the thesis I also trace that through Dr. Strangelove in Kubrick and show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165" w:name="r2_004936"/>
      <w:bookmarkEnd w:id="165"/>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 different forms in different historical periods. So it isn't something that is opposed to the rational, the serious, the committed. It's a form you always have to reinvent to see what the disproportions are here between what we think and what we do, and how we can learn to act through that.</w:t>
      </w:r>
    </w:p>
    <w:p>
      <w:pPr>
        <w:pStyle w:val="Speaker"/>
      </w:pPr>
      <w:r>
        <w:t>Jussi   00:50:41</w:t>
      </w:r>
    </w:p>
    <w:p>
      <w:pPr/>
      <w:bookmarkStart w:id="166" w:name="r2_005041"/>
      <w:bookmarkEnd w:id="166"/>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167" w:name="r2_005124"/>
      <w:bookmarkEnd w:id="167"/>
      <w:r>
        <w:t>But then, and this is where it goes to question, there is also a lot of technical language or technical forms of making an argument, which of course pertain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168" w:name="r2_005216"/>
      <w:bookmarkEnd w:id="168"/>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169" w:name="r2_005241"/>
      <w:bookmarkEnd w:id="169"/>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4">
        <w:r>
          <w:rPr>
            <w:color w:val="000000"/>
            <w:u w:val="single"/>
            <w:vertAlign w:val="superscript"/>
          </w:rPr>
          <w:t xml:space="preserve">[14]</w:t>
        </w:r>
      </w:hyperlink>
    </w:p>
    <w:p>
      <w:pPr/>
      <w:bookmarkStart w:id="170" w:name="r2_005342"/>
      <w:bookmarkEnd w:id="17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171" w:name="r2_005431"/>
      <w:bookmarkEnd w:id="171"/>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172" w:name="r2_005518"/>
      <w:bookmarkEnd w:id="172"/>
      <w:r>
        <w:t xml:space="preserve">So how can I make it reflect the object? How can I use it for that? And that's why I then wrote the </w:t>
      </w:r>
      <w:hyperlink r:id="rId11" w:tooltip="Article 1">
        <w:r>
          <w:rPr>
            <w:color w:val="000000"/>
            <w:u w:val="single"/>
          </w:rPr>
          <w:t xml:space="preserve">first article</w:t>
        </w:r>
      </w:hyperlink>
      <w:r>
        <w:t xml:space="preserv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disbelief to let things settle there.</w:t>
      </w:r>
    </w:p>
    <w:p>
      <w:pPr/>
      <w:bookmarkStart w:id="173" w:name="r2_005605"/>
      <w:bookmarkEnd w:id="173"/>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174" w:name="r2_005647"/>
      <w:bookmarkEnd w:id="174"/>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I think that they are generative, speculative engines as such, and they have a life of their own. And that is what appealed to me most. So I was hoping that that comes true in your answer, and it really did.</w:t>
      </w:r>
    </w:p>
    <w:p>
      <w:pPr/>
      <w:bookmarkStart w:id="175" w:name="r2_005727"/>
      <w:bookmarkEnd w:id="175"/>
      <w:r>
        <w:t>You used the mathemes in Lacan earlier on as well. Then you do flirt with the idea that they can have a specific knowledge-function — but also not. You play with the idea that it might be precise, and it might not be. This is my observation. I think by this time of day…</w:t>
      </w:r>
    </w:p>
    <w:p>
      <w:pPr>
        <w:pStyle w:val="Speaker"/>
      </w:pPr>
      <w:r>
        <w:t>Asker   00:58:03</w:t>
      </w:r>
    </w:p>
    <w:p>
      <w:pPr/>
      <w:bookmarkStart w:id="176" w:name="r2_005803"/>
      <w:bookmarkEnd w:id="176"/>
      <w:r>
        <w:t>That also takes us to the question of totality.</w:t>
      </w:r>
    </w:p>
    <w:p>
      <w:pPr>
        <w:pStyle w:val="Speaker"/>
      </w:pPr>
      <w:r>
        <w:t>Jussi   00:58:12</w:t>
      </w:r>
    </w:p>
    <w:p>
      <w:pPr/>
      <w:bookmarkStart w:id="177" w:name="r2_005812"/>
      <w:bookmarkEnd w:id="177"/>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178" w:name="r2_005855"/>
      <w:bookmarkEnd w:id="178"/>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179" w:name="r2_005923"/>
      <w:bookmarkEnd w:id="179"/>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180" w:name="r2_010001"/>
      <w:bookmarkEnd w:id="180"/>
      <w:r>
        <w:t>And you hint at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with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it on its head.</w:t>
      </w:r>
    </w:p>
    <w:p>
      <w:pPr/>
      <w:bookmarkStart w:id="181" w:name="r2_010047"/>
      <w:bookmarkEnd w:id="181"/>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182" w:name="r2_010112"/>
      <w:bookmarkEnd w:id="182"/>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183" w:name="r2_010203"/>
      <w:bookmarkEnd w:id="183"/>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184" w:name="r2_010254"/>
      <w:bookmarkEnd w:id="184"/>
      <w:r>
        <w:t>But, you know, and of course the implication of what you say, we have in much good critical scholarship now also concepts of synthetic media, like Gabriele de Seta’s.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185" w:name="r2_010348"/>
      <w:bookmarkEnd w:id="185"/>
      <w:r>
        <w:t>And also exactly that, you nicely took it out of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186" w:name="r2_010436"/>
      <w:bookmarkEnd w:id="186"/>
      <w:r>
        <w:t>And it's, I think you parted with the term retro-futurist aesthetics of the particular setting that was curated for the summit, for the sort of like a gathering as well. That juxtaposes, obviously, with the topic itself: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5">
        <w:r>
          <w:rPr>
            <w:color w:val="000000"/>
            <w:u w:val="single"/>
            <w:vertAlign w:val="superscript"/>
          </w:rPr>
          <w:t xml:space="preserve">[15]</w:t>
        </w:r>
      </w:hyperlink>
    </w:p>
    <w:p>
      <w:pPr>
        <w:pStyle w:val="Speaker"/>
      </w:pPr>
      <w:r>
        <w:t>Asker   01:05:25</w:t>
      </w:r>
    </w:p>
    <w:p>
      <w:pPr/>
      <w:bookmarkStart w:id="187" w:name="r2_010525"/>
      <w:bookmarkEnd w:id="187"/>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188" w:name="r2_010613"/>
      <w:bookmarkEnd w:id="188"/>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189" w:name="r2_010725"/>
      <w:bookmarkEnd w:id="189"/>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competing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190" w:name="r2_010826"/>
      <w:bookmarkEnd w:id="19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191" w:name="r2_010855"/>
      <w:bookmarkEnd w:id="191"/>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192" w:name="r2_010936"/>
      <w:bookmarkEnd w:id="192"/>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something you would agree with? Because you keep on going back to talking about ideology, also in answers as well, which I find interesting, but you also seem to be a bit like, it's not necessarily the right time anymore.</w:t>
      </w:r>
    </w:p>
    <w:p>
      <w:pPr>
        <w:pStyle w:val="Speaker"/>
      </w:pPr>
      <w:r>
        <w:t>Asker   01:10:17</w:t>
      </w:r>
    </w:p>
    <w:p>
      <w:pPr/>
      <w:bookmarkStart w:id="193" w:name="r2_011017"/>
      <w:bookmarkEnd w:id="193"/>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194" w:name="r2_011124"/>
      <w:bookmarkEnd w:id="194"/>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195" w:name="r2_011221"/>
      <w:bookmarkEnd w:id="195"/>
      <w:r>
        <w:t xml:space="preserve">That could maybe reorient the whole process. Of course, that is a Proustian move. When you come to the end, you have to figure out how to read the novel again. But it's also a question because it is practice-based </w:t>
      </w:r>
      <w:r>
        <w:rPr>
          <w:i/>
        </w:rPr>
        <w:t>research</w:t>
      </w:r>
      <w:r>
        <w:t>, but I wouldn't be able to answer that solely through practice. Maybe I sort of answer it through the practice that is already there in those two objects as generating the answers to the third research question,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196" w:name="r2_011308"/>
      <w:bookmarkEnd w:id="196"/>
      <w:r>
        <w:t>Or understand.</w:t>
      </w:r>
    </w:p>
    <w:p>
      <w:pPr>
        <w:pStyle w:val="Speaker"/>
      </w:pPr>
      <w:r>
        <w:t>Asker   01:13:12</w:t>
      </w:r>
    </w:p>
    <w:p>
      <w:pPr/>
      <w:bookmarkStart w:id="197" w:name="r2_011312"/>
      <w:bookmarkEnd w:id="197"/>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198" w:name="r2_011406"/>
      <w:bookmarkEnd w:id="198"/>
      <w:r>
        <w:t>But I think politics takes place at the infrastructural level and that most of the obvious sites we identify with politics don't have much power anymore.</w:t>
      </w:r>
    </w:p>
    <w:p>
      <w:pPr>
        <w:pStyle w:val="Speaker"/>
      </w:pPr>
      <w:r>
        <w:t>Jussi   01:14:18</w:t>
      </w:r>
    </w:p>
    <w:p>
      <w:pPr/>
      <w:bookmarkStart w:id="199" w:name="r2_011418"/>
      <w:bookmarkEnd w:id="199"/>
      <w:r>
        <w:t>We could continue on this so long, but we are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00" w:name="r2_011516"/>
      <w:bookmarkEnd w:id="200"/>
      <w:r>
        <w:t>I think for your questions you also showed exactly how you composed the work and I hinted at with the affect question. Basically the work itself and your answers are very heterogeneous in the sense that you have components and yet you're able to do this with a coherent voice that comes through with an argument that is identifiable and situatable. Hence the answers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01" w:name="r2_011601"/>
      <w:bookmarkEnd w:id="201"/>
      <w:r>
        <w:t>And I think it's now time for us to deliberate. Thank you. Thank you.</w:t>
      </w:r>
    </w:p>
    <w:p>
      <w:pPr>
        <w:pStyle w:val="Speaker"/>
      </w:pPr>
      <w:r>
        <w:t>Stefan   01:16:23</w:t>
      </w:r>
    </w:p>
    <w:p>
      <w:pPr/>
      <w:bookmarkStart w:id="202" w:name="r2_011623"/>
      <w:bookmarkEnd w:id="202"/>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Article, figure and passage references to the dissertation and related works.</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In dissertation: pp. 207⁠–⁠233.</w:t>
      </w:r>
    </w:p>
    <w:p>
      <w:hyperlink r:id="rId14">
        <w:r>
          <w:rPr>
            <w:color w:val="000000"/>
            <w:u w:val="single"/>
          </w:rPr>
          <w:t xml:space="preserve">Article 5</w:t>
        </w:r>
      </w:hyperlink>
      <w:r>
        <w:t xml:space="preserve">. Asker Bryld Staunæs. </w:t>
      </w:r>
      <w:r>
        <w:rPr>
          <w:i/>
        </w:rPr>
        <w:t>Scripting the Spectacle: A Theory Tragedy</w:t>
      </w:r>
      <w:r>
        <w:t>.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In dissertation: pp. 296⁠–⁠324.</w:t>
      </w:r>
    </w:p>
    <w:p>
      <w:pPr>
        <w:pStyle w:val="Heading2"/>
      </w:pPr>
      <w:r>
        <w:t>Passage references</w:t>
      </w:r>
    </w:p>
    <w:p>
      <w:bookmarkStart w:id="203" w:name="ref_1"/>
      <w:bookmarkEnd w:id="203"/>
      <w:r>
        <w:t xml:space="preserve">1. </w:t>
      </w:r>
      <w:r>
        <w:t xml:space="preserve">Geometry of the dissertation: Figure N.1, </w:t>
      </w:r>
      <w:hyperlink r:id="rId22" w:tooltip="Printed folio 14">
        <w:r>
          <w:rPr>
            <w:color w:val="000000"/>
            <w:u w:val="single"/>
          </w:rPr>
          <w:t xml:space="preserve">p. 14</w:t>
        </w:r>
      </w:hyperlink>
      <w:r>
        <w:t xml:space="preserve">; directional variations, </w:t>
      </w:r>
      <w:hyperlink r:id="rId23" w:tooltip="Printed folio 15">
        <w:r>
          <w:rPr>
            <w:color w:val="000000"/>
            <w:u w:val="single"/>
          </w:rPr>
          <w:t xml:space="preserve">pp. 15⁠–⁠16</w:t>
        </w:r>
      </w:hyperlink>
      <w:r>
        <w:t>.</w:t>
      </w:r>
    </w:p>
    <w:p>
      <w:bookmarkStart w:id="204" w:name="ref_2"/>
      <w:bookmarkEnd w:id="204"/>
      <w:r>
        <w:t xml:space="preserve">2. </w:t>
      </w:r>
      <w:r>
        <w:t xml:space="preserve">Article 1: emotion analysis, figure and discussion, </w:t>
      </w:r>
      <w:hyperlink r:id="rId24" w:tooltip="Printed folio 138">
        <w:r>
          <w:rPr>
            <w:color w:val="000000"/>
            <w:u w:val="single"/>
          </w:rPr>
          <w:t xml:space="preserve">pp. 138⁠–⁠139</w:t>
        </w:r>
      </w:hyperlink>
      <w:r>
        <w:t>.</w:t>
      </w:r>
    </w:p>
    <w:p>
      <w:bookmarkStart w:id="205" w:name="ref_3"/>
      <w:bookmarkEnd w:id="205"/>
      <w:r>
        <w:t xml:space="preserve">3. </w:t>
      </w:r>
      <w:r>
        <w:t xml:space="preserve">Article 2: Proust quotation, </w:t>
      </w:r>
      <w:hyperlink r:id="rId25" w:tooltip="Printed folio 160">
        <w:r>
          <w:rPr>
            <w:color w:val="000000"/>
            <w:u w:val="single"/>
          </w:rPr>
          <w:t xml:space="preserve">p. 160</w:t>
        </w:r>
      </w:hyperlink>
      <w:r>
        <w:t xml:space="preserve">; Figure 2.2, </w:t>
      </w:r>
      <w:hyperlink r:id="rId26" w:tooltip="Printed folio 161">
        <w:r>
          <w:rPr>
            <w:color w:val="000000"/>
            <w:u w:val="single"/>
          </w:rPr>
          <w:t xml:space="preserve">p. 161</w:t>
        </w:r>
      </w:hyperlink>
      <w:r>
        <w:t>.</w:t>
      </w:r>
    </w:p>
    <w:p>
      <w:bookmarkStart w:id="206" w:name="ref_4"/>
      <w:bookmarkEnd w:id="206"/>
      <w:r>
        <w:t xml:space="preserve">4. </w:t>
      </w:r>
      <w:r>
        <w:t xml:space="preserve">Proust book photograph and permutation: Figure N.4, </w:t>
      </w:r>
      <w:hyperlink r:id="rId27" w:tooltip="Printed folio 31">
        <w:r>
          <w:rPr>
            <w:color w:val="000000"/>
            <w:u w:val="single"/>
          </w:rPr>
          <w:t xml:space="preserve">p. 31</w:t>
        </w:r>
      </w:hyperlink>
      <w:r>
        <w:t xml:space="preserve">; analysis and photographed order, </w:t>
      </w:r>
      <w:hyperlink r:id="rId28" w:tooltip="Printed folio 32">
        <w:r>
          <w:rPr>
            <w:color w:val="000000"/>
            <w:u w:val="single"/>
          </w:rPr>
          <w:t xml:space="preserve">pp. 32⁠–⁠35</w:t>
        </w:r>
      </w:hyperlink>
      <w:r>
        <w:t>.</w:t>
      </w:r>
    </w:p>
    <w:p>
      <w:bookmarkStart w:id="207" w:name="ref_5"/>
      <w:bookmarkEnd w:id="207"/>
      <w:r>
        <w:t xml:space="preserve">5. </w:t>
      </w:r>
      <w:r>
        <w:t xml:space="preserve">Guardian composite: Figure N.3, </w:t>
      </w:r>
      <w:hyperlink r:id="rId29" w:tooltip="Printed folio 27">
        <w:r>
          <w:rPr>
            <w:color w:val="000000"/>
            <w:u w:val="single"/>
          </w:rPr>
          <w:t xml:space="preserve">p. 27</w:t>
        </w:r>
      </w:hyperlink>
      <w:r>
        <w:t xml:space="preserve">; synthesis discussion, </w:t>
      </w:r>
      <w:hyperlink r:id="rId30"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08" w:name="ref_6"/>
      <w:bookmarkEnd w:id="208"/>
      <w:r>
        <w:t xml:space="preserve">6. </w:t>
      </w:r>
      <w:r>
        <w:t xml:space="preserve">Wiktoria–Lars exchange, </w:t>
      </w:r>
      <w:hyperlink r:id="rId31" w:tooltip="Printed folio 106">
        <w:r>
          <w:rPr>
            <w:color w:val="000000"/>
            <w:u w:val="single"/>
          </w:rPr>
          <w:t xml:space="preserve">pp. 106⁠–⁠107</w:t>
        </w:r>
      </w:hyperlink>
      <w:r>
        <w:t xml:space="preserve">; social and technosocial sculpture, </w:t>
      </w:r>
      <w:hyperlink r:id="rId32" w:tooltip="Printed folio 86">
        <w:r>
          <w:rPr>
            <w:color w:val="000000"/>
            <w:u w:val="single"/>
          </w:rPr>
          <w:t xml:space="preserve">pp. 86⁠–⁠94</w:t>
        </w:r>
      </w:hyperlink>
      <w:r>
        <w:t>.</w:t>
      </w:r>
    </w:p>
    <w:p>
      <w:bookmarkStart w:id="209" w:name="ref_7"/>
      <w:bookmarkEnd w:id="209"/>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3" w:tooltip="Printed folio 279">
        <w:r>
          <w:rPr>
            <w:color w:val="000000"/>
            <w:u w:val="single"/>
          </w:rPr>
          <w:t xml:space="preserve">pp. 279⁠–⁠285</w:t>
        </w:r>
      </w:hyperlink>
      <w:r>
        <w:t>.</w:t>
      </w:r>
    </w:p>
    <w:p>
      <w:bookmarkStart w:id="210" w:name="ref_8"/>
      <w:bookmarkEnd w:id="210"/>
      <w:r>
        <w:t xml:space="preserve">8. </w:t>
      </w:r>
      <w:r>
        <w:t xml:space="preserve">Opening formulation of democracy’s disproportion: printed </w:t>
      </w:r>
      <w:hyperlink r:id="rId34" w:tooltip="Printed folio 6">
        <w:r>
          <w:rPr>
            <w:color w:val="000000"/>
            <w:u w:val="single"/>
          </w:rPr>
          <w:t xml:space="preserve">p. 6</w:t>
        </w:r>
      </w:hyperlink>
      <w:r>
        <w:t>.</w:t>
      </w:r>
    </w:p>
    <w:p>
      <w:bookmarkStart w:id="211" w:name="ref_9"/>
      <w:bookmarkEnd w:id="211"/>
      <w:r>
        <w:t xml:space="preserve">9. </w:t>
      </w:r>
      <w:r>
        <w:t xml:space="preserve">Abstract formulation of democracy’s disproportion: printed </w:t>
      </w:r>
      <w:hyperlink r:id="rId35" w:tooltip="Printed folio 327">
        <w:r>
          <w:rPr>
            <w:color w:val="000000"/>
            <w:u w:val="single"/>
          </w:rPr>
          <w:t xml:space="preserve">p. 327</w:t>
        </w:r>
      </w:hyperlink>
      <w:r>
        <w:t>.</w:t>
      </w:r>
    </w:p>
    <w:p>
      <w:bookmarkStart w:id="212" w:name="ref_10"/>
      <w:bookmarkEnd w:id="212"/>
      <w:r>
        <w:t xml:space="preserve">10. </w:t>
      </w:r>
      <w:r>
        <w:t xml:space="preserve">The closing thesis formulation appears in the English abstract, </w:t>
      </w:r>
      <w:hyperlink r:id="rId36" w:tooltip="Printed folio 330">
        <w:r>
          <w:rPr>
            <w:color w:val="000000"/>
            <w:u w:val="single"/>
          </w:rPr>
          <w:t xml:space="preserve">p. 330</w:t>
        </w:r>
      </w:hyperlink>
      <w:r>
        <w:t>. The spoken ending is the present defence formulation.</w:t>
      </w:r>
    </w:p>
    <w:p>
      <w:bookmarkStart w:id="213" w:name="ref_11"/>
      <w:bookmarkEnd w:id="213"/>
      <w:r>
        <w:t xml:space="preserve">11. </w:t>
      </w:r>
      <w:r>
        <w:t xml:space="preserve">Collective Resolution and democratic specification: synthesis, </w:t>
      </w:r>
      <w:hyperlink r:id="rId37"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14" w:name="ref_12"/>
      <w:bookmarkEnd w:id="214"/>
      <w:r>
        <w:t xml:space="preserve">12. </w:t>
      </w:r>
      <w:r>
        <w:t xml:space="preserve">Jan-Werner Müller’s reading of Asimov’s electoral computer and its limits: Article 3, </w:t>
      </w:r>
      <w:hyperlink r:id="rId38" w:tooltip="Printed folio 197">
        <w:r>
          <w:rPr>
            <w:color w:val="000000"/>
            <w:u w:val="single"/>
          </w:rPr>
          <w:t xml:space="preserve">pp. 197⁠–⁠199</w:t>
        </w:r>
      </w:hyperlink>
      <w:r>
        <w:t>.</w:t>
      </w:r>
    </w:p>
    <w:p>
      <w:bookmarkStart w:id="215" w:name="ref_13"/>
      <w:bookmarkEnd w:id="215"/>
      <w:r>
        <w:t xml:space="preserve">13. </w:t>
      </w:r>
      <w:r>
        <w:t xml:space="preserve">Emily Bender’s objection to The Synthetic Party is quoted and discussed on </w:t>
      </w:r>
      <w:hyperlink r:id="rId39" w:tooltip="Printed folio 85">
        <w:r>
          <w:rPr>
            <w:color w:val="000000"/>
            <w:u w:val="single"/>
          </w:rPr>
          <w:t xml:space="preserve">p. 85</w:t>
        </w:r>
      </w:hyperlink>
      <w:r>
        <w:t>.</w:t>
      </w:r>
    </w:p>
    <w:p>
      <w:bookmarkStart w:id="216" w:name="ref_14"/>
      <w:bookmarkEnd w:id="216"/>
      <w:r>
        <w:t xml:space="preserve">14. </w:t>
      </w:r>
      <w:r>
        <w:t xml:space="preserve">Stiegler’s idiotextual geometry: Article 5, </w:t>
      </w:r>
      <w:hyperlink r:id="rId40" w:tooltip="Printed folio 245">
        <w:r>
          <w:rPr>
            <w:color w:val="000000"/>
            <w:u w:val="single"/>
          </w:rPr>
          <w:t xml:space="preserve">pp. 245⁠–⁠247</w:t>
        </w:r>
      </w:hyperlink>
      <w:r>
        <w:t>.</w:t>
      </w:r>
    </w:p>
    <w:p>
      <w:bookmarkStart w:id="217" w:name="ref_15"/>
      <w:bookmarkEnd w:id="217"/>
      <w:r>
        <w:t xml:space="preserve">15. </w:t>
      </w:r>
      <w:r>
        <w:t xml:space="preserve">Retro-futurist scenography, </w:t>
      </w:r>
      <w:hyperlink r:id="rId41" w:tooltip="Printed folio 69">
        <w:r>
          <w:rPr>
            <w:color w:val="000000"/>
            <w:u w:val="single"/>
          </w:rPr>
          <w:t xml:space="preserve">p. 69</w:t>
        </w:r>
      </w:hyperlink>
      <w:r>
        <w:t xml:space="preserve">. The earlier formulation is “consumable futurisms”, </w:t>
      </w:r>
      <w:hyperlink r:id="rId42" w:tooltip="Printed folio 58">
        <w:r>
          <w:rPr>
            <w:color w:val="000000"/>
            <w:u w:val="single"/>
          </w:rPr>
          <w:t xml:space="preserve">p. 58</w:t>
        </w:r>
      </w:hyperlink>
      <w:r>
        <w:t>.</w:t>
      </w:r>
    </w:p>
    <w:p>
      <w:bookmarkStart w:id="218" w:name="ref_16"/>
      <w:bookmarkEnd w:id="218"/>
      <w:r>
        <w:t xml:space="preserve">16. </w:t>
      </w:r>
      <w:r>
        <w:t>Synthetic Summit, Kunsthal Aarhus; exhibition and AI World Congress, 2025.</w:t>
      </w:r>
      <w:r>
        <w:t xml:space="preserve"> </w:t>
      </w:r>
      <w:hyperlink r:id="rId43">
        <w:r>
          <w:rPr>
            <w:color w:val="000000"/>
            <w:u w:val="single"/>
          </w:rPr>
          <w:t xml:space="preserve">Source</w:t>
        </w:r>
      </w:hyperlink>
    </w:p>
    <w:p>
      <w:bookmarkStart w:id="219" w:name="ref_17"/>
      <w:bookmarkEnd w:id="219"/>
      <w:r>
        <w:t xml:space="preserve">17. </w:t>
      </w:r>
      <w:r>
        <w:t>AI: Authority of Art, Ujazdowski Castle Centre for Contemporary Art, Warsaw, 18 July–21 September 2025.</w:t>
      </w:r>
      <w:r>
        <w:t xml:space="preserve"> </w:t>
      </w:r>
      <w:hyperlink r:id="rId44">
        <w:r>
          <w:rPr>
            <w:color w:val="000000"/>
            <w:u w:val="single"/>
          </w:rPr>
          <w:t xml:space="preserve">Source</w:t>
        </w:r>
      </w:hyperlink>
      <w:r>
        <w:t xml:space="preserve"> Linz: </w:t>
      </w:r>
      <w:hyperlink r:id="rId45">
        <w:r>
          <w:rPr>
            <w:color w:val="000000"/>
            <w:u w:val="single"/>
          </w:rPr>
          <w:t xml:space="preserve">KI-DIPFIES</w:t>
        </w:r>
      </w:hyperlink>
      <w:r>
        <w:t xml:space="preserve"> · </w:t>
      </w:r>
      <w:hyperlink r:id="rId46">
        <w:r>
          <w:rPr>
            <w:color w:val="000000"/>
            <w:u w:val="single"/>
          </w:rPr>
          <w:t xml:space="preserve">KI-DIPFEL GIPFELTREFFEN</w:t>
        </w:r>
      </w:hyperlink>
    </w:p>
    <w:p>
      <w:bookmarkStart w:id="220" w:name="ref_18"/>
      <w:bookmarkEnd w:id="220"/>
      <w:r>
        <w:t xml:space="preserve">18. </w:t>
      </w:r>
      <w:r>
        <w:t>The Swedish event was Partikonvent &amp; Valvaka – AI-partiet, Inkonst, Malmö, 9–13 September 2026.</w:t>
      </w:r>
      <w:r>
        <w:t xml:space="preserve"> </w:t>
      </w:r>
      <w:hyperlink r:id="rId47">
        <w:r>
          <w:rPr>
            <w:color w:val="000000"/>
            <w:u w:val="single"/>
          </w:rPr>
          <w:t xml:space="preserve">Source</w:t>
        </w:r>
      </w:hyperlink>
    </w:p>
    <w:p>
      <w:bookmarkStart w:id="221" w:name="ref_19"/>
      <w:bookmarkEnd w:id="221"/>
      <w:r>
        <w:t xml:space="preserve">19. </w:t>
      </w:r>
      <w:r>
        <w:t>Joë Bousquet (1897–1950) was a French poet. The spoken description is retained; the identification here follows the BnF catalogue.</w:t>
      </w:r>
      <w:r>
        <w:t xml:space="preserve"> </w:t>
      </w:r>
      <w:hyperlink r:id="rId48">
        <w:r>
          <w:rPr>
            <w:color w:val="000000"/>
            <w:u w:val="single"/>
          </w:rPr>
          <w:t xml:space="preserve">Source</w:t>
        </w:r>
      </w:hyperlink>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64" TargetMode="External"/><Relationship Id="rId19" Type="http://schemas.openxmlformats.org/officeDocument/2006/relationships/hyperlink" Target="https://computerlars.github.io/Syntheticism-How-I-Learned-to-Love-Democracy/dissertation/Syntheticism-How-I-Learned-to-Love-Democracy.pdf#page=82" TargetMode="External"/><Relationship Id="rId20" Type="http://schemas.openxmlformats.org/officeDocument/2006/relationships/hyperlink" Target="https://computerlars.github.io/Syntheticism-How-I-Learned-to-Love-Democracy/dissertation/Syntheticism-How-I-Learned-to-Love-Democracy.pdf#page=55" TargetMode="External"/><Relationship Id="rId21" Type="http://schemas.openxmlformats.org/officeDocument/2006/relationships/hyperlink" Target="https://computerlars.github.io/Syntheticism-How-I-Learned-to-Love-Democracy/dissertation/Syntheticism-How-I-Learned-to-Love-Democracy.pdf#page=30" TargetMode="External"/><Relationship Id="rId22" Type="http://schemas.openxmlformats.org/officeDocument/2006/relationships/hyperlink" Target="https://computerlars.github.io/Syntheticism-How-I-Learned-to-Love-Democracy/dissertation/Syntheticism-How-I-Learned-to-Love-Democracy.pdf#page=15" TargetMode="External"/><Relationship Id="rId23" Type="http://schemas.openxmlformats.org/officeDocument/2006/relationships/hyperlink" Target="https://computerlars.github.io/Syntheticism-How-I-Learned-to-Love-Democracy/dissertation/Syntheticism-How-I-Learned-to-Love-Democracy.pdf#page=16" TargetMode="External"/><Relationship Id="rId24" Type="http://schemas.openxmlformats.org/officeDocument/2006/relationships/hyperlink" Target="https://computerlars.github.io/Syntheticism-How-I-Learned-to-Love-Democracy/dissertation/Syntheticism-How-I-Learned-to-Love-Democracy.pdf#page=139" TargetMode="External"/><Relationship Id="rId25" Type="http://schemas.openxmlformats.org/officeDocument/2006/relationships/hyperlink" Target="https://computerlars.github.io/Syntheticism-How-I-Learned-to-Love-Democracy/dissertation/Syntheticism-How-I-Learned-to-Love-Democracy.pdf#page=161" TargetMode="External"/><Relationship Id="rId26" Type="http://schemas.openxmlformats.org/officeDocument/2006/relationships/hyperlink" Target="https://computerlars.github.io/Syntheticism-How-I-Learned-to-Love-Democracy/dissertation/Syntheticism-How-I-Learned-to-Love-Democracy.pdf#page=162" TargetMode="External"/><Relationship Id="rId27" Type="http://schemas.openxmlformats.org/officeDocument/2006/relationships/hyperlink" Target="https://computerlars.github.io/Syntheticism-How-I-Learned-to-Love-Democracy/dissertation/Syntheticism-How-I-Learned-to-Love-Democracy.pdf#page=32" TargetMode="External"/><Relationship Id="rId28" Type="http://schemas.openxmlformats.org/officeDocument/2006/relationships/hyperlink" Target="https://computerlars.github.io/Syntheticism-How-I-Learned-to-Love-Democracy/dissertation/Syntheticism-How-I-Learned-to-Love-Democracy.pdf#page=33" TargetMode="External"/><Relationship Id="rId29" Type="http://schemas.openxmlformats.org/officeDocument/2006/relationships/hyperlink" Target="https://computerlars.github.io/Syntheticism-How-I-Learned-to-Love-Democracy/dissertation/Syntheticism-How-I-Learned-to-Love-Democracy.pdf#page=28" TargetMode="External"/><Relationship Id="rId30" Type="http://schemas.openxmlformats.org/officeDocument/2006/relationships/hyperlink" Target="https://computerlars.github.io/Syntheticism-How-I-Learned-to-Love-Democracy/dissertation/Syntheticism-How-I-Learned-to-Love-Democracy.pdf#page=29" TargetMode="External"/><Relationship Id="rId31" Type="http://schemas.openxmlformats.org/officeDocument/2006/relationships/hyperlink" Target="https://computerlars.github.io/Syntheticism-How-I-Learned-to-Love-Democracy/dissertation/Syntheticism-How-I-Learned-to-Love-Democracy.pdf#page=107" TargetMode="External"/><Relationship Id="rId32" Type="http://schemas.openxmlformats.org/officeDocument/2006/relationships/hyperlink" Target="https://computerlars.github.io/Syntheticism-How-I-Learned-to-Love-Democracy/dissertation/Syntheticism-How-I-Learned-to-Love-Democracy.pdf#page=87" TargetMode="External"/><Relationship Id="rId33" Type="http://schemas.openxmlformats.org/officeDocument/2006/relationships/hyperlink" Target="https://computerlars.github.io/Syntheticism-How-I-Learned-to-Love-Democracy/dissertation/Syntheticism-How-I-Learned-to-Love-Democracy.pdf#page=280" TargetMode="External"/><Relationship Id="rId34" Type="http://schemas.openxmlformats.org/officeDocument/2006/relationships/hyperlink" Target="https://computerlars.github.io/Syntheticism-How-I-Learned-to-Love-Democracy/dissertation/Syntheticism-How-I-Learned-to-Love-Democracy.pdf#page=7" TargetMode="External"/><Relationship Id="rId35" Type="http://schemas.openxmlformats.org/officeDocument/2006/relationships/hyperlink" Target="https://computerlars.github.io/Syntheticism-How-I-Learned-to-Love-Democracy/dissertation/Syntheticism-How-I-Learned-to-Love-Democracy.pdf#page=328" TargetMode="External"/><Relationship Id="rId36" Type="http://schemas.openxmlformats.org/officeDocument/2006/relationships/hyperlink" Target="https://computerlars.github.io/Syntheticism-How-I-Learned-to-Love-Democracy/dissertation/Syntheticism-How-I-Learned-to-Love-Democracy.pdf#page=331" TargetMode="External"/><Relationship Id="rId37" Type="http://schemas.openxmlformats.org/officeDocument/2006/relationships/hyperlink" Target="https://computerlars.github.io/Syntheticism-How-I-Learned-to-Love-Democracy/dissertation/Syntheticism-How-I-Learned-to-Love-Democracy.pdf#page=108" TargetMode="External"/><Relationship Id="rId38" Type="http://schemas.openxmlformats.org/officeDocument/2006/relationships/hyperlink" Target="https://computerlars.github.io/Syntheticism-How-I-Learned-to-Love-Democracy/dissertation/Syntheticism-How-I-Learned-to-Love-Democracy.pdf#page=198" TargetMode="External"/><Relationship Id="rId39" Type="http://schemas.openxmlformats.org/officeDocument/2006/relationships/hyperlink" Target="https://computerlars.github.io/Syntheticism-How-I-Learned-to-Love-Democracy/dissertation/Syntheticism-How-I-Learned-to-Love-Democracy.pdf#page=86" TargetMode="External"/><Relationship Id="rId40" Type="http://schemas.openxmlformats.org/officeDocument/2006/relationships/hyperlink" Target="https://computerlars.github.io/Syntheticism-How-I-Learned-to-Love-Democracy/dissertation/Syntheticism-How-I-Learned-to-Love-Democracy.pdf#page=246" TargetMode="External"/><Relationship Id="rId41" Type="http://schemas.openxmlformats.org/officeDocument/2006/relationships/hyperlink" Target="https://computerlars.github.io/Syntheticism-How-I-Learned-to-Love-Democracy/dissertation/Syntheticism-How-I-Learned-to-Love-Democracy.pdf#page=70" TargetMode="External"/><Relationship Id="rId42" Type="http://schemas.openxmlformats.org/officeDocument/2006/relationships/hyperlink" Target="https://computerlars.github.io/Syntheticism-How-I-Learned-to-Love-Democracy/dissertation/Syntheticism-How-I-Learned-to-Love-Democracy.pdf#page=59" TargetMode="External"/><Relationship Id="rId43" Type="http://schemas.openxmlformats.org/officeDocument/2006/relationships/hyperlink" Target="https://www.kunsthalaarhus.dk/en/Events/Opening-Of-Synthetic-Summit" TargetMode="External"/><Relationship Id="rId44" Type="http://schemas.openxmlformats.org/officeDocument/2006/relationships/hyperlink" Target="https://u-jazdowski.pl/en/programme/exhibitions/ai-authority-of-art" TargetMode="External"/><Relationship Id="rId45" Type="http://schemas.openxmlformats.org/officeDocument/2006/relationships/hyperlink" Target="https://memphismemph.is/program/ki-dipfies" TargetMode="External"/><Relationship Id="rId46" Type="http://schemas.openxmlformats.org/officeDocument/2006/relationships/hyperlink" Target="https://memphismemph.is/program/ki-dipfel-gipfeltreffen" TargetMode="External"/><Relationship Id="rId47" Type="http://schemas.openxmlformats.org/officeDocument/2006/relationships/hyperlink" Target="https://inkonst.com/sv/events/partikonvent-and-valvaka-ai-partiet" TargetMode="External"/><Relationship Id="rId48" Type="http://schemas.openxmlformats.org/officeDocument/2006/relationships/hyperlink" Target="https://ccfr.bnf.fr/portailccfr/jsp/index_view_direct_anonymous.jsp?record=eadcgm%3AEADC%3Aa13772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2026-10-20T00:00:00Z</dcterms:modified>
  <cp:category/>
</cp:coreProperties>
</file>