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RELATÓRIO GERENCIAL DE AUDITORIA E APOIO OPERACIONAL</w:t>
      </w:r>
    </w:p>
    <w:p>
      <w:pPr>
        <w:jc w:val="center"/>
      </w:pPr>
      <w:r>
        <w:rPr>
          <w:i/>
          <w:sz w:val="28"/>
        </w:rPr>
        <w:t>Fábrica de Calçados - caso sintético de auditoria externa</w:t>
      </w:r>
    </w:p>
    <w:p>
      <w:pPr>
        <w:jc w:val="center"/>
      </w:pPr>
      <w:r>
        <w:rPr>
          <w:sz w:val="22"/>
        </w:rPr>
        <w:t>Leitura de negócio sobre a simulação TCRIA + Quinta Ordem + Precision Gate</w:t>
      </w:r>
    </w:p>
    <w:p>
      <w:pPr>
        <w:jc w:val="center"/>
      </w:pPr>
      <w:r>
        <w:rPr>
          <w:sz w:val="18"/>
        </w:rPr>
        <w:t>Data da simulação: 18/08/2026 | Escopo: 5 departamentos x 2 meses x 5 classes documentais</w:t>
      </w:r>
    </w:p>
    <w:p/>
    <w:p>
      <w:pPr>
        <w:pStyle w:val="Heading1"/>
      </w:pPr>
      <w:r>
        <w:t>1. Finalidade do relatório</w:t>
      </w:r>
    </w:p>
    <w:p>
      <w:r>
        <w:t>Este relatório foi produzido no papel de uma IA de negócios, após a execução de uma simulação de auditoria externa sobre uma fábrica de calçados. O objetivo não é apenas apontar falhas: é transformar evidência organizada em informação útil para quem trabalha na fábrica - gestores, supervisores, equipes operacionais, qualidade, logística, compras e finanças - indicando onde há necessidade de apoio, quais controles merecem atenção e como priorizar recursos.</w:t>
      </w:r>
    </w:p>
    <w:p>
      <w:r>
        <w:rPr>
          <w:b/>
        </w:rPr>
        <w:t xml:space="preserve">Nota de escopo: </w:t>
      </w:r>
      <w:r>
        <w:t>o caso é sintético. Nenhum valor ou ocorrência deste documento deve ser tratado como fato de uma empresa real. Os resultados técnicos de custódia e estados foram extraídos do pacote da simulação; as métricas operacionais abaixo são dados do cenário sintético usado para exercitar o sistema.</w:t>
      </w:r>
    </w:p>
    <w:p>
      <w:pPr>
        <w:pStyle w:val="Heading1"/>
      </w:pPr>
      <w:r>
        <w:t>2. Como o caso foi estruturado</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Elemento</w:t>
            </w:r>
          </w:p>
        </w:tc>
        <w:tc>
          <w:tcPr>
            <w:tcW w:type="dxa" w:w="5112"/>
            <w:vAlign w:val="center"/>
            <w:shd w:fill="D9EAF7"/>
          </w:tcPr>
          <w:p>
            <w:r/>
            <w:r>
              <w:rPr>
                <w:b/>
                <w:sz w:val="18"/>
              </w:rPr>
              <w:t>Escopo simulado</w:t>
            </w:r>
          </w:p>
        </w:tc>
      </w:tr>
      <w:tr>
        <w:tc>
          <w:tcPr>
            <w:tcW w:type="dxa" w:w="5112"/>
            <w:vAlign w:val="center"/>
          </w:tcPr>
          <w:p>
            <w:r/>
            <w:r>
              <w:rPr>
                <w:b w:val="0"/>
                <w:sz w:val="18"/>
              </w:rPr>
              <w:t>Departamentos</w:t>
            </w:r>
          </w:p>
        </w:tc>
        <w:tc>
          <w:tcPr>
            <w:tcW w:type="dxa" w:w="5112"/>
            <w:vAlign w:val="center"/>
          </w:tcPr>
          <w:p>
            <w:r/>
            <w:r>
              <w:rPr>
                <w:b w:val="0"/>
                <w:sz w:val="18"/>
              </w:rPr>
              <w:t>Compras, Produção, Qualidade, Logística e Financeiro</w:t>
            </w:r>
          </w:p>
        </w:tc>
      </w:tr>
      <w:tr>
        <w:tc>
          <w:tcPr>
            <w:tcW w:type="dxa" w:w="5112"/>
            <w:vAlign w:val="center"/>
          </w:tcPr>
          <w:p>
            <w:r/>
            <w:r>
              <w:rPr>
                <w:b w:val="0"/>
                <w:sz w:val="18"/>
              </w:rPr>
              <w:t>Período</w:t>
            </w:r>
          </w:p>
        </w:tc>
        <w:tc>
          <w:tcPr>
            <w:tcW w:type="dxa" w:w="5112"/>
            <w:vAlign w:val="center"/>
          </w:tcPr>
          <w:p>
            <w:r/>
            <w:r>
              <w:rPr>
                <w:b w:val="0"/>
                <w:sz w:val="18"/>
              </w:rPr>
              <w:t>Junho e julho de 2026</w:t>
            </w:r>
          </w:p>
        </w:tc>
      </w:tr>
      <w:tr>
        <w:tc>
          <w:tcPr>
            <w:tcW w:type="dxa" w:w="5112"/>
            <w:vAlign w:val="center"/>
          </w:tcPr>
          <w:p>
            <w:r/>
            <w:r>
              <w:rPr>
                <w:b w:val="0"/>
                <w:sz w:val="18"/>
              </w:rPr>
              <w:t>Documentos</w:t>
            </w:r>
          </w:p>
        </w:tc>
        <w:tc>
          <w:tcPr>
            <w:tcW w:type="dxa" w:w="5112"/>
            <w:vAlign w:val="center"/>
          </w:tcPr>
          <w:p>
            <w:r/>
            <w:r>
              <w:rPr>
                <w:b w:val="0"/>
                <w:sz w:val="18"/>
              </w:rPr>
              <w:t>50 documentos: 5 departamentos x 2 meses x 5 classes documentais</w:t>
            </w:r>
          </w:p>
        </w:tc>
      </w:tr>
      <w:tr>
        <w:tc>
          <w:tcPr>
            <w:tcW w:type="dxa" w:w="5112"/>
            <w:vAlign w:val="center"/>
          </w:tcPr>
          <w:p>
            <w:r/>
            <w:r>
              <w:rPr>
                <w:b w:val="0"/>
                <w:sz w:val="18"/>
              </w:rPr>
              <w:t>Objetivo externo</w:t>
            </w:r>
          </w:p>
        </w:tc>
        <w:tc>
          <w:tcPr>
            <w:tcW w:type="dxa" w:w="5112"/>
            <w:vAlign w:val="center"/>
          </w:tcPr>
          <w:p>
            <w:r/>
            <w:r>
              <w:rPr>
                <w:b w:val="0"/>
                <w:sz w:val="18"/>
              </w:rPr>
              <w:t>Auditoria externa + identificação de áreas que precisam de apoio/investimento</w:t>
            </w:r>
          </w:p>
        </w:tc>
      </w:tr>
      <w:tr>
        <w:tc>
          <w:tcPr>
            <w:tcW w:type="dxa" w:w="5112"/>
            <w:vAlign w:val="center"/>
          </w:tcPr>
          <w:p>
            <w:r/>
            <w:r>
              <w:rPr>
                <w:b w:val="0"/>
                <w:sz w:val="18"/>
              </w:rPr>
              <w:t>Camada técnica</w:t>
            </w:r>
          </w:p>
        </w:tc>
        <w:tc>
          <w:tcPr>
            <w:tcW w:type="dxa" w:w="5112"/>
            <w:vAlign w:val="center"/>
          </w:tcPr>
          <w:p>
            <w:r/>
            <w:r>
              <w:rPr>
                <w:b w:val="0"/>
                <w:sz w:val="18"/>
              </w:rPr>
              <w:t>TCRIA como organizador da evidência; Quinta Ordem como gate determinístico; Precision Gate como custódia/precisão/alerta/reporting</w:t>
            </w:r>
          </w:p>
        </w:tc>
      </w:tr>
      <w:tr>
        <w:tc>
          <w:tcPr>
            <w:tcW w:type="dxa" w:w="5112"/>
            <w:vAlign w:val="center"/>
          </w:tcPr>
          <w:p>
            <w:r/>
            <w:r>
              <w:rPr>
                <w:b w:val="0"/>
                <w:sz w:val="18"/>
              </w:rPr>
              <w:t>Decisão</w:t>
            </w:r>
          </w:p>
        </w:tc>
        <w:tc>
          <w:tcPr>
            <w:tcW w:type="dxa" w:w="5112"/>
            <w:vAlign w:val="center"/>
          </w:tcPr>
          <w:p>
            <w:r/>
            <w:r>
              <w:rPr>
                <w:b w:val="0"/>
                <w:sz w:val="18"/>
              </w:rPr>
              <w:t>permanece humana; o sistema informa, classifica, alerta e preserva custódia</w:t>
            </w:r>
          </w:p>
        </w:tc>
      </w:tr>
    </w:tbl>
    <w:p/>
    <w:p>
      <w:pPr>
        <w:pStyle w:val="Heading1"/>
      </w:pPr>
      <w:r>
        <w:t>3. Resultado técnico da simulação</w:t>
      </w:r>
    </w:p>
    <w:p>
      <w:r>
        <w:t>A execução limpa processou os 50 registros sintéticos como fact_supported, preservou a cadeia de custódia em 304 checkpoints, verificou a cadeia como válida e chegou a uma condição liberável após uma revisão humana sintética. A execução com falhas preservou a cadeia em 303 checkpoints, mas registrou falhas de extração/OCR e um bloqueio de rastreabilidade; por isso, embora a decisão da Quinta Ordem tenha vindo como aprovada, o Precision Gate não liberou o caso.</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Indicador</w:t>
            </w:r>
          </w:p>
        </w:tc>
        <w:tc>
          <w:tcPr>
            <w:tcW w:type="dxa" w:w="3408"/>
            <w:vAlign w:val="center"/>
            <w:shd w:fill="D9EAF7"/>
          </w:tcPr>
          <w:p>
            <w:r/>
            <w:r>
              <w:rPr>
                <w:b/>
                <w:sz w:val="18"/>
              </w:rPr>
              <w:t>Execução limpa</w:t>
            </w:r>
          </w:p>
        </w:tc>
        <w:tc>
          <w:tcPr>
            <w:tcW w:type="dxa" w:w="3408"/>
            <w:vAlign w:val="center"/>
            <w:shd w:fill="D9EAF7"/>
          </w:tcPr>
          <w:p>
            <w:r/>
            <w:r>
              <w:rPr>
                <w:b/>
                <w:sz w:val="18"/>
              </w:rPr>
              <w:t>Execução com falhas</w:t>
            </w:r>
          </w:p>
        </w:tc>
      </w:tr>
      <w:tr>
        <w:tc>
          <w:tcPr>
            <w:tcW w:type="dxa" w:w="3408"/>
            <w:vAlign w:val="center"/>
          </w:tcPr>
          <w:p>
            <w:r/>
            <w:r>
              <w:rPr>
                <w:b w:val="0"/>
                <w:sz w:val="18"/>
              </w:rPr>
              <w:t>Documentos de entrada</w:t>
            </w:r>
          </w:p>
        </w:tc>
        <w:tc>
          <w:tcPr>
            <w:tcW w:type="dxa" w:w="3408"/>
            <w:vAlign w:val="center"/>
          </w:tcPr>
          <w:p>
            <w:r/>
            <w:r>
              <w:rPr>
                <w:b w:val="0"/>
                <w:sz w:val="18"/>
              </w:rPr>
              <w:t>50</w:t>
            </w:r>
          </w:p>
        </w:tc>
        <w:tc>
          <w:tcPr>
            <w:tcW w:type="dxa" w:w="3408"/>
            <w:vAlign w:val="center"/>
          </w:tcPr>
          <w:p>
            <w:r/>
            <w:r>
              <w:rPr>
                <w:b w:val="0"/>
                <w:sz w:val="18"/>
              </w:rPr>
              <w:t>50</w:t>
            </w:r>
          </w:p>
        </w:tc>
      </w:tr>
      <w:tr>
        <w:tc>
          <w:tcPr>
            <w:tcW w:type="dxa" w:w="3408"/>
            <w:vAlign w:val="center"/>
          </w:tcPr>
          <w:p>
            <w:r/>
            <w:r>
              <w:rPr>
                <w:b w:val="0"/>
                <w:sz w:val="18"/>
              </w:rPr>
              <w:t>Fatos suportados</w:t>
            </w:r>
          </w:p>
        </w:tc>
        <w:tc>
          <w:tcPr>
            <w:tcW w:type="dxa" w:w="3408"/>
            <w:vAlign w:val="center"/>
          </w:tcPr>
          <w:p>
            <w:r/>
            <w:r>
              <w:rPr>
                <w:b w:val="0"/>
                <w:sz w:val="18"/>
              </w:rPr>
              <w:t>50</w:t>
            </w:r>
          </w:p>
        </w:tc>
        <w:tc>
          <w:tcPr>
            <w:tcW w:type="dxa" w:w="3408"/>
            <w:vAlign w:val="center"/>
          </w:tcPr>
          <w:p>
            <w:r/>
            <w:r>
              <w:rPr>
                <w:b w:val="0"/>
                <w:sz w:val="18"/>
              </w:rPr>
              <w:t>47</w:t>
            </w:r>
          </w:p>
        </w:tc>
      </w:tr>
      <w:tr>
        <w:tc>
          <w:tcPr>
            <w:tcW w:type="dxa" w:w="3408"/>
            <w:vAlign w:val="center"/>
          </w:tcPr>
          <w:p>
            <w:r/>
            <w:r>
              <w:rPr>
                <w:b w:val="0"/>
                <w:sz w:val="18"/>
              </w:rPr>
              <w:t>Falhas de extração</w:t>
            </w:r>
          </w:p>
        </w:tc>
        <w:tc>
          <w:tcPr>
            <w:tcW w:type="dxa" w:w="3408"/>
            <w:vAlign w:val="center"/>
          </w:tcPr>
          <w:p>
            <w:r/>
            <w:r>
              <w:rPr>
                <w:b w:val="0"/>
                <w:sz w:val="18"/>
              </w:rPr>
              <w:t>0</w:t>
            </w:r>
          </w:p>
        </w:tc>
        <w:tc>
          <w:tcPr>
            <w:tcW w:type="dxa" w:w="3408"/>
            <w:vAlign w:val="center"/>
          </w:tcPr>
          <w:p>
            <w:r/>
            <w:r>
              <w:rPr>
                <w:b w:val="0"/>
                <w:sz w:val="18"/>
              </w:rPr>
              <w:t>2</w:t>
            </w:r>
          </w:p>
        </w:tc>
      </w:tr>
      <w:tr>
        <w:tc>
          <w:tcPr>
            <w:tcW w:type="dxa" w:w="3408"/>
            <w:vAlign w:val="center"/>
          </w:tcPr>
          <w:p>
            <w:r/>
            <w:r>
              <w:rPr>
                <w:b w:val="0"/>
                <w:sz w:val="18"/>
              </w:rPr>
              <w:t>Falhas de OCR</w:t>
            </w:r>
          </w:p>
        </w:tc>
        <w:tc>
          <w:tcPr>
            <w:tcW w:type="dxa" w:w="3408"/>
            <w:vAlign w:val="center"/>
          </w:tcPr>
          <w:p>
            <w:r/>
            <w:r>
              <w:rPr>
                <w:b w:val="0"/>
                <w:sz w:val="18"/>
              </w:rPr>
              <w:t>0</w:t>
            </w:r>
          </w:p>
        </w:tc>
        <w:tc>
          <w:tcPr>
            <w:tcW w:type="dxa" w:w="3408"/>
            <w:vAlign w:val="center"/>
          </w:tcPr>
          <w:p>
            <w:r/>
            <w:r>
              <w:rPr>
                <w:b w:val="0"/>
                <w:sz w:val="18"/>
              </w:rPr>
              <w:t>1</w:t>
            </w:r>
          </w:p>
        </w:tc>
      </w:tr>
      <w:tr>
        <w:tc>
          <w:tcPr>
            <w:tcW w:type="dxa" w:w="3408"/>
            <w:vAlign w:val="center"/>
          </w:tcPr>
          <w:p>
            <w:r/>
            <w:r>
              <w:rPr>
                <w:b w:val="0"/>
                <w:sz w:val="18"/>
              </w:rPr>
              <w:t>Condições bloqueadas</w:t>
            </w:r>
          </w:p>
        </w:tc>
        <w:tc>
          <w:tcPr>
            <w:tcW w:type="dxa" w:w="3408"/>
            <w:vAlign w:val="center"/>
          </w:tcPr>
          <w:p>
            <w:r/>
            <w:r>
              <w:rPr>
                <w:b w:val="0"/>
                <w:sz w:val="18"/>
              </w:rPr>
              <w:t>0</w:t>
            </w:r>
          </w:p>
        </w:tc>
        <w:tc>
          <w:tcPr>
            <w:tcW w:type="dxa" w:w="3408"/>
            <w:vAlign w:val="center"/>
          </w:tcPr>
          <w:p>
            <w:r/>
            <w:r>
              <w:rPr>
                <w:b w:val="0"/>
                <w:sz w:val="18"/>
              </w:rPr>
              <w:t>3</w:t>
            </w:r>
          </w:p>
        </w:tc>
      </w:tr>
      <w:tr>
        <w:tc>
          <w:tcPr>
            <w:tcW w:type="dxa" w:w="3408"/>
            <w:vAlign w:val="center"/>
          </w:tcPr>
          <w:p>
            <w:r/>
            <w:r>
              <w:rPr>
                <w:b w:val="0"/>
                <w:sz w:val="18"/>
              </w:rPr>
              <w:t>Alertas de coerência</w:t>
            </w:r>
          </w:p>
        </w:tc>
        <w:tc>
          <w:tcPr>
            <w:tcW w:type="dxa" w:w="3408"/>
            <w:vAlign w:val="center"/>
          </w:tcPr>
          <w:p>
            <w:r/>
            <w:r>
              <w:rPr>
                <w:b w:val="0"/>
                <w:sz w:val="18"/>
              </w:rPr>
              <w:t>0</w:t>
            </w:r>
          </w:p>
        </w:tc>
        <w:tc>
          <w:tcPr>
            <w:tcW w:type="dxa" w:w="3408"/>
            <w:vAlign w:val="center"/>
          </w:tcPr>
          <w:p>
            <w:r/>
            <w:r>
              <w:rPr>
                <w:b w:val="0"/>
                <w:sz w:val="18"/>
              </w:rPr>
              <w:t>1 crítico</w:t>
            </w:r>
          </w:p>
        </w:tc>
      </w:tr>
      <w:tr>
        <w:tc>
          <w:tcPr>
            <w:tcW w:type="dxa" w:w="3408"/>
            <w:vAlign w:val="center"/>
          </w:tcPr>
          <w:p>
            <w:r/>
            <w:r>
              <w:rPr>
                <w:b w:val="0"/>
                <w:sz w:val="18"/>
              </w:rPr>
              <w:t>Checkpoints de custódia</w:t>
            </w:r>
          </w:p>
        </w:tc>
        <w:tc>
          <w:tcPr>
            <w:tcW w:type="dxa" w:w="3408"/>
            <w:vAlign w:val="center"/>
          </w:tcPr>
          <w:p>
            <w:r/>
            <w:r>
              <w:rPr>
                <w:b w:val="0"/>
                <w:sz w:val="18"/>
              </w:rPr>
              <w:t>304</w:t>
            </w:r>
          </w:p>
        </w:tc>
        <w:tc>
          <w:tcPr>
            <w:tcW w:type="dxa" w:w="3408"/>
            <w:vAlign w:val="center"/>
          </w:tcPr>
          <w:p>
            <w:r/>
            <w:r>
              <w:rPr>
                <w:b w:val="0"/>
                <w:sz w:val="18"/>
              </w:rPr>
              <w:t>303</w:t>
            </w:r>
          </w:p>
        </w:tc>
      </w:tr>
      <w:tr>
        <w:tc>
          <w:tcPr>
            <w:tcW w:type="dxa" w:w="3408"/>
            <w:vAlign w:val="center"/>
          </w:tcPr>
          <w:p>
            <w:r/>
            <w:r>
              <w:rPr>
                <w:b w:val="0"/>
                <w:sz w:val="18"/>
              </w:rPr>
              <w:t>Cadeia válida</w:t>
            </w:r>
          </w:p>
        </w:tc>
        <w:tc>
          <w:tcPr>
            <w:tcW w:type="dxa" w:w="3408"/>
            <w:vAlign w:val="center"/>
          </w:tcPr>
          <w:p>
            <w:r/>
            <w:r>
              <w:rPr>
                <w:b w:val="0"/>
                <w:sz w:val="18"/>
              </w:rPr>
              <w:t>Sim</w:t>
            </w:r>
          </w:p>
        </w:tc>
        <w:tc>
          <w:tcPr>
            <w:tcW w:type="dxa" w:w="3408"/>
            <w:vAlign w:val="center"/>
          </w:tcPr>
          <w:p>
            <w:r/>
            <w:r>
              <w:rPr>
                <w:b w:val="0"/>
                <w:sz w:val="18"/>
              </w:rPr>
              <w:t>Sim</w:t>
            </w:r>
          </w:p>
        </w:tc>
      </w:tr>
      <w:tr>
        <w:tc>
          <w:tcPr>
            <w:tcW w:type="dxa" w:w="3408"/>
            <w:vAlign w:val="center"/>
          </w:tcPr>
          <w:p>
            <w:r/>
            <w:r>
              <w:rPr>
                <w:b w:val="0"/>
                <w:sz w:val="18"/>
              </w:rPr>
              <w:t>Revisão humana registrada</w:t>
            </w:r>
          </w:p>
        </w:tc>
        <w:tc>
          <w:tcPr>
            <w:tcW w:type="dxa" w:w="3408"/>
            <w:vAlign w:val="center"/>
          </w:tcPr>
          <w:p>
            <w:r/>
            <w:r>
              <w:rPr>
                <w:b w:val="0"/>
                <w:sz w:val="18"/>
              </w:rPr>
              <w:t>Sim</w:t>
            </w:r>
          </w:p>
        </w:tc>
        <w:tc>
          <w:tcPr>
            <w:tcW w:type="dxa" w:w="3408"/>
            <w:vAlign w:val="center"/>
          </w:tcPr>
          <w:p>
            <w:r/>
            <w:r>
              <w:rPr>
                <w:b w:val="0"/>
                <w:sz w:val="18"/>
              </w:rPr>
              <w:t>Sim</w:t>
            </w:r>
          </w:p>
        </w:tc>
      </w:tr>
      <w:tr>
        <w:tc>
          <w:tcPr>
            <w:tcW w:type="dxa" w:w="3408"/>
            <w:vAlign w:val="center"/>
          </w:tcPr>
          <w:p>
            <w:r/>
            <w:r>
              <w:rPr>
                <w:b w:val="0"/>
                <w:sz w:val="18"/>
              </w:rPr>
              <w:t>Liberado</w:t>
            </w:r>
          </w:p>
        </w:tc>
        <w:tc>
          <w:tcPr>
            <w:tcW w:type="dxa" w:w="3408"/>
            <w:vAlign w:val="center"/>
          </w:tcPr>
          <w:p>
            <w:r/>
            <w:r>
              <w:rPr>
                <w:b w:val="0"/>
                <w:sz w:val="18"/>
              </w:rPr>
              <w:t>Sim</w:t>
            </w:r>
          </w:p>
        </w:tc>
        <w:tc>
          <w:tcPr>
            <w:tcW w:type="dxa" w:w="3408"/>
            <w:vAlign w:val="center"/>
          </w:tcPr>
          <w:p>
            <w:r/>
            <w:r>
              <w:rPr>
                <w:b w:val="0"/>
                <w:sz w:val="18"/>
              </w:rPr>
              <w:t>Não</w:t>
            </w:r>
          </w:p>
        </w:tc>
      </w:tr>
    </w:tbl>
    <w:p/>
    <w:p>
      <w:r>
        <w:rPr>
          <w:b/>
        </w:rPr>
        <w:t xml:space="preserve">Leitura de negócio: </w:t>
      </w:r>
      <w:r>
        <w:t>o valor principal do mecanismo aparece quando algo dá errado. A falha não desaparece, não vira falsa evidência e não precisa interromper toda a cadeia; ela permanece identificada, afetando a liberação final.</w:t>
      </w:r>
    </w:p>
    <w:p>
      <w:pPr>
        <w:pStyle w:val="Heading1"/>
      </w:pPr>
      <w:r>
        <w:t>4. O que a fábrica está mostrando no cenário</w:t>
      </w:r>
    </w:p>
    <w:p>
      <w:r>
        <w:t>A simulação foi construída para representar uma fábrica que passa por auditoria externa e, ao mesmo tempo, precisa descobrir onde investir para melhorar o negócio. O conjunto abaixo representa os sinais operacionais usados no cenário. Eles são premissas de teste, não achados jurídicos ou contábeis reais.</w:t>
      </w:r>
    </w:p>
    <w:p>
      <w:pPr>
        <w:pStyle w:val="Heading2"/>
      </w:pPr>
      <w:r>
        <w:t>Procurement</w:t>
      </w:r>
    </w:p>
    <w:p>
      <w:pPr>
        <w:pStyle w:val="ListBullet"/>
        <w:spacing w:after="40"/>
      </w:pPr>
      <w:r>
        <w:t>Approval gap: 2 -&gt; 4 cases without approval evidence</w:t>
      </w:r>
    </w:p>
    <w:p>
      <w:pPr>
        <w:pStyle w:val="ListBullet"/>
        <w:spacing w:after="40"/>
      </w:pPr>
      <w:r>
        <w:t>Vendor review: 3 -&gt; 5 vendors without a recent review</w:t>
      </w:r>
    </w:p>
    <w:p>
      <w:pPr>
        <w:pStyle w:val="ListBullet"/>
        <w:spacing w:after="40"/>
      </w:pPr>
      <w:r>
        <w:t>Contracts: 1 -&gt; 2 expired contracts</w:t>
      </w:r>
    </w:p>
    <w:p>
      <w:pPr>
        <w:pStyle w:val="Heading2"/>
      </w:pPr>
      <w:r>
        <w:t>Production</w:t>
      </w:r>
    </w:p>
    <w:p>
      <w:pPr>
        <w:pStyle w:val="ListBullet"/>
        <w:spacing w:after="40"/>
      </w:pPr>
      <w:r>
        <w:t>Plan attainment: 97.0% -&gt; 93.8%</w:t>
      </w:r>
    </w:p>
    <w:p>
      <w:pPr>
        <w:pStyle w:val="ListBullet"/>
        <w:spacing w:after="40"/>
      </w:pPr>
      <w:r>
        <w:t>Stoppage hours: 21 -&gt; 46</w:t>
      </w:r>
    </w:p>
    <w:p>
      <w:pPr>
        <w:pStyle w:val="ListBullet"/>
        <w:spacing w:after="40"/>
      </w:pPr>
      <w:r>
        <w:t>Waste: 3.1% -&gt; 4.6%</w:t>
      </w:r>
    </w:p>
    <w:p>
      <w:pPr>
        <w:pStyle w:val="ListBullet"/>
        <w:spacing w:after="40"/>
      </w:pPr>
      <w:r>
        <w:t>High-risk maintenance: 1 -&gt; 4 overdue items</w:t>
      </w:r>
    </w:p>
    <w:p>
      <w:pPr>
        <w:pStyle w:val="ListBullet"/>
        <w:spacing w:after="40"/>
      </w:pPr>
      <w:r>
        <w:t>Training: 96% -&gt; 91% current</w:t>
      </w:r>
    </w:p>
    <w:p>
      <w:pPr>
        <w:pStyle w:val="Heading2"/>
      </w:pPr>
      <w:r>
        <w:t>Quality</w:t>
      </w:r>
    </w:p>
    <w:p>
      <w:pPr>
        <w:pStyle w:val="ListBullet"/>
        <w:spacing w:after="40"/>
      </w:pPr>
      <w:r>
        <w:t>Reject rate: 2.4% -&gt; 4.1%</w:t>
      </w:r>
    </w:p>
    <w:p>
      <w:pPr>
        <w:pStyle w:val="ListBullet"/>
        <w:spacing w:after="40"/>
      </w:pPr>
      <w:r>
        <w:t>Critical defects: 2 -&gt; 7</w:t>
      </w:r>
    </w:p>
    <w:p>
      <w:pPr>
        <w:pStyle w:val="ListBullet"/>
        <w:spacing w:after="40"/>
      </w:pPr>
      <w:r>
        <w:t>Defect returns: 54 -&gt; 93</w:t>
      </w:r>
    </w:p>
    <w:p>
      <w:pPr>
        <w:pStyle w:val="ListBullet"/>
        <w:spacing w:after="40"/>
      </w:pPr>
      <w:r>
        <w:t>Capa: 4 -&gt; 9 open; 1 -&gt; 4 overdue</w:t>
      </w:r>
    </w:p>
    <w:p>
      <w:pPr>
        <w:pStyle w:val="ListBullet"/>
        <w:spacing w:after="40"/>
      </w:pPr>
      <w:r>
        <w:t>Capa effectiveness: 75% -&gt; 56%</w:t>
      </w:r>
    </w:p>
    <w:p>
      <w:pPr>
        <w:pStyle w:val="ListBullet"/>
        <w:spacing w:after="40"/>
      </w:pPr>
      <w:r>
        <w:t>Repeat defect: SOLE-EDGE appears in July</w:t>
      </w:r>
    </w:p>
    <w:p>
      <w:pPr>
        <w:pStyle w:val="Heading2"/>
      </w:pPr>
      <w:r>
        <w:t>Logistics</w:t>
      </w:r>
    </w:p>
    <w:p>
      <w:pPr>
        <w:pStyle w:val="ListBullet"/>
        <w:spacing w:after="40"/>
      </w:pPr>
      <w:r>
        <w:t>On-time delivery: 96.4% -&gt; 91.2%</w:t>
      </w:r>
    </w:p>
    <w:p>
      <w:pPr>
        <w:pStyle w:val="ListBullet"/>
        <w:spacing w:after="40"/>
      </w:pPr>
      <w:r>
        <w:t>Late shipments: 21 -&gt; 54</w:t>
      </w:r>
    </w:p>
    <w:p>
      <w:pPr>
        <w:pStyle w:val="ListBullet"/>
        <w:spacing w:after="40"/>
      </w:pPr>
      <w:r>
        <w:t>Inventory accuracy: 99.1% -&gt; 97.4%</w:t>
      </w:r>
    </w:p>
    <w:p>
      <w:pPr>
        <w:pStyle w:val="ListBullet"/>
        <w:spacing w:after="40"/>
      </w:pPr>
      <w:r>
        <w:t>Unexplained variances: 3 -&gt; 11</w:t>
      </w:r>
    </w:p>
    <w:p>
      <w:pPr>
        <w:pStyle w:val="ListBullet"/>
        <w:spacing w:after="40"/>
      </w:pPr>
      <w:r>
        <w:t>Warehouse utilization: 78% -&gt; 92%</w:t>
      </w:r>
    </w:p>
    <w:p>
      <w:pPr>
        <w:pStyle w:val="ListBullet"/>
        <w:spacing w:after="40"/>
      </w:pPr>
      <w:r>
        <w:t>Unreconciled dispatches: 2 -&gt; 9</w:t>
      </w:r>
    </w:p>
    <w:p>
      <w:pPr>
        <w:pStyle w:val="Heading2"/>
      </w:pPr>
      <w:r>
        <w:t>Finance</w:t>
      </w:r>
    </w:p>
    <w:p>
      <w:pPr>
        <w:pStyle w:val="ListBullet"/>
        <w:spacing w:after="40"/>
      </w:pPr>
      <w:r>
        <w:t>Bank reconciliation items: 0 -&gt; 7 open</w:t>
      </w:r>
    </w:p>
    <w:p>
      <w:pPr>
        <w:pStyle w:val="ListBullet"/>
        <w:spacing w:after="40"/>
      </w:pPr>
      <w:r>
        <w:t>Overdue receivables: R$142k -&gt; R$198k</w:t>
      </w:r>
    </w:p>
    <w:p>
      <w:pPr>
        <w:pStyle w:val="ListBullet"/>
        <w:spacing w:after="40"/>
      </w:pPr>
      <w:r>
        <w:t>Dso: 34 -&gt; 42 days</w:t>
      </w:r>
    </w:p>
    <w:p>
      <w:pPr>
        <w:pStyle w:val="ListBullet"/>
        <w:spacing w:after="40"/>
      </w:pPr>
      <w:r>
        <w:t>Po match: 97.4% -&gt; 94.8%</w:t>
      </w:r>
    </w:p>
    <w:p>
      <w:pPr>
        <w:pStyle w:val="ListBullet"/>
        <w:spacing w:after="40"/>
      </w:pPr>
      <w:r>
        <w:t>Close time: 4 -&gt; 6 days</w:t>
      </w:r>
    </w:p>
    <w:p>
      <w:pPr>
        <w:pStyle w:val="Heading1"/>
      </w:pPr>
      <w:r>
        <w:t>5. Leitura empresarial - onde o apoio provavelmente gera mais valor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Prioridade</w:t>
            </w:r>
          </w:p>
        </w:tc>
        <w:tc>
          <w:tcPr>
            <w:tcW w:type="dxa" w:w="2556"/>
            <w:vAlign w:val="center"/>
            <w:shd w:fill="D9EAF7"/>
          </w:tcPr>
          <w:p>
            <w:r/>
            <w:r>
              <w:rPr>
                <w:b/>
                <w:sz w:val="18"/>
              </w:rPr>
              <w:t>Área</w:t>
            </w:r>
          </w:p>
        </w:tc>
        <w:tc>
          <w:tcPr>
            <w:tcW w:type="dxa" w:w="2556"/>
            <w:vAlign w:val="center"/>
            <w:shd w:fill="D9EAF7"/>
          </w:tcPr>
          <w:p>
            <w:r/>
            <w:r>
              <w:rPr>
                <w:b/>
                <w:sz w:val="18"/>
              </w:rPr>
              <w:t>Leitura do cenário</w:t>
            </w:r>
          </w:p>
        </w:tc>
        <w:tc>
          <w:tcPr>
            <w:tcW w:type="dxa" w:w="2556"/>
            <w:vAlign w:val="center"/>
            <w:shd w:fill="D9EAF7"/>
          </w:tcPr>
          <w:p>
            <w:r/>
            <w:r>
              <w:rPr>
                <w:b/>
                <w:sz w:val="18"/>
              </w:rPr>
              <w:t>Apoio recomendado</w:t>
            </w:r>
          </w:p>
        </w:tc>
      </w:tr>
      <w:tr>
        <w:tc>
          <w:tcPr>
            <w:tcW w:type="dxa" w:w="2556"/>
            <w:vAlign w:val="center"/>
          </w:tcPr>
          <w:p>
            <w:r/>
            <w:r>
              <w:rPr>
                <w:b w:val="0"/>
                <w:sz w:val="18"/>
              </w:rPr>
              <w:t>1</w:t>
            </w:r>
          </w:p>
        </w:tc>
        <w:tc>
          <w:tcPr>
            <w:tcW w:type="dxa" w:w="2556"/>
            <w:vAlign w:val="center"/>
          </w:tcPr>
          <w:p>
            <w:r/>
            <w:r>
              <w:rPr>
                <w:b w:val="0"/>
                <w:sz w:val="18"/>
              </w:rPr>
              <w:t>Qualidade</w:t>
            </w:r>
          </w:p>
        </w:tc>
        <w:tc>
          <w:tcPr>
            <w:tcW w:type="dxa" w:w="2556"/>
            <w:vAlign w:val="center"/>
          </w:tcPr>
          <w:p>
            <w:r/>
            <w:r>
              <w:rPr>
                <w:b w:val="0"/>
                <w:sz w:val="18"/>
              </w:rPr>
              <w:t>Aumento de rejeição, defeitos críticos, devoluções e backlog de CAPA; menor efetividade.</w:t>
            </w:r>
          </w:p>
        </w:tc>
        <w:tc>
          <w:tcPr>
            <w:tcW w:type="dxa" w:w="2556"/>
            <w:vAlign w:val="center"/>
          </w:tcPr>
          <w:p>
            <w:r/>
            <w:r>
              <w:rPr>
                <w:b w:val="0"/>
                <w:sz w:val="18"/>
              </w:rPr>
              <w:t>Engenharia de qualidade, análise de causa-raiz, contenção, revisão de CAPA e treinamento.</w:t>
            </w:r>
          </w:p>
        </w:tc>
      </w:tr>
      <w:tr>
        <w:tc>
          <w:tcPr>
            <w:tcW w:type="dxa" w:w="2556"/>
            <w:vAlign w:val="center"/>
          </w:tcPr>
          <w:p>
            <w:r/>
            <w:r>
              <w:rPr>
                <w:b w:val="0"/>
                <w:sz w:val="18"/>
              </w:rPr>
              <w:t>2</w:t>
            </w:r>
          </w:p>
        </w:tc>
        <w:tc>
          <w:tcPr>
            <w:tcW w:type="dxa" w:w="2556"/>
            <w:vAlign w:val="center"/>
          </w:tcPr>
          <w:p>
            <w:r/>
            <w:r>
              <w:rPr>
                <w:b w:val="0"/>
                <w:sz w:val="18"/>
              </w:rPr>
              <w:t>Produção</w:t>
            </w:r>
          </w:p>
        </w:tc>
        <w:tc>
          <w:tcPr>
            <w:tcW w:type="dxa" w:w="2556"/>
            <w:vAlign w:val="center"/>
          </w:tcPr>
          <w:p>
            <w:r/>
            <w:r>
              <w:rPr>
                <w:b w:val="0"/>
                <w:sz w:val="18"/>
              </w:rPr>
              <w:t>Mais paradas, maior desperdício, menor aderência ao plano e manutenção crítica atrasada.</w:t>
            </w:r>
          </w:p>
        </w:tc>
        <w:tc>
          <w:tcPr>
            <w:tcW w:type="dxa" w:w="2556"/>
            <w:vAlign w:val="center"/>
          </w:tcPr>
          <w:p>
            <w:r/>
            <w:r>
              <w:rPr>
                <w:b w:val="0"/>
                <w:sz w:val="18"/>
              </w:rPr>
              <w:t>Confiabilidade de manutenção, engenharia de processo, programação e capacitação operacional.</w:t>
            </w:r>
          </w:p>
        </w:tc>
      </w:tr>
      <w:tr>
        <w:tc>
          <w:tcPr>
            <w:tcW w:type="dxa" w:w="2556"/>
            <w:vAlign w:val="center"/>
          </w:tcPr>
          <w:p>
            <w:r/>
            <w:r>
              <w:rPr>
                <w:b w:val="0"/>
                <w:sz w:val="18"/>
              </w:rPr>
              <w:t>3</w:t>
            </w:r>
          </w:p>
        </w:tc>
        <w:tc>
          <w:tcPr>
            <w:tcW w:type="dxa" w:w="2556"/>
            <w:vAlign w:val="center"/>
          </w:tcPr>
          <w:p>
            <w:r/>
            <w:r>
              <w:rPr>
                <w:b w:val="0"/>
                <w:sz w:val="18"/>
              </w:rPr>
              <w:t>Logística</w:t>
            </w:r>
          </w:p>
        </w:tc>
        <w:tc>
          <w:tcPr>
            <w:tcW w:type="dxa" w:w="2556"/>
            <w:vAlign w:val="center"/>
          </w:tcPr>
          <w:p>
            <w:r/>
            <w:r>
              <w:rPr>
                <w:b w:val="0"/>
                <w:sz w:val="18"/>
              </w:rPr>
              <w:t>Queda de entrega no prazo, piora da acurácia do estoque e aumento de divergências.</w:t>
            </w:r>
          </w:p>
        </w:tc>
        <w:tc>
          <w:tcPr>
            <w:tcW w:type="dxa" w:w="2556"/>
            <w:vAlign w:val="center"/>
          </w:tcPr>
          <w:p>
            <w:r/>
            <w:r>
              <w:rPr>
                <w:b w:val="0"/>
                <w:sz w:val="18"/>
              </w:rPr>
              <w:t>Controle de estoque, reconciliação de expedições, gestão de transporte e capacidade do armazém.</w:t>
            </w:r>
          </w:p>
        </w:tc>
      </w:tr>
      <w:tr>
        <w:tc>
          <w:tcPr>
            <w:tcW w:type="dxa" w:w="2556"/>
            <w:vAlign w:val="center"/>
          </w:tcPr>
          <w:p>
            <w:r/>
            <w:r>
              <w:rPr>
                <w:b w:val="0"/>
                <w:sz w:val="18"/>
              </w:rPr>
              <w:t>4</w:t>
            </w:r>
          </w:p>
        </w:tc>
        <w:tc>
          <w:tcPr>
            <w:tcW w:type="dxa" w:w="2556"/>
            <w:vAlign w:val="center"/>
          </w:tcPr>
          <w:p>
            <w:r/>
            <w:r>
              <w:rPr>
                <w:b w:val="0"/>
                <w:sz w:val="18"/>
              </w:rPr>
              <w:t>Financeiro</w:t>
            </w:r>
          </w:p>
        </w:tc>
        <w:tc>
          <w:tcPr>
            <w:tcW w:type="dxa" w:w="2556"/>
            <w:vAlign w:val="center"/>
          </w:tcPr>
          <w:p>
            <w:r/>
            <w:r>
              <w:rPr>
                <w:b w:val="0"/>
                <w:sz w:val="18"/>
              </w:rPr>
              <w:t>Mais itens de reconciliação, recebíveis vencidos, DSO maior e fechamento mais lento.</w:t>
            </w:r>
          </w:p>
        </w:tc>
        <w:tc>
          <w:tcPr>
            <w:tcW w:type="dxa" w:w="2556"/>
            <w:vAlign w:val="center"/>
          </w:tcPr>
          <w:p>
            <w:r/>
            <w:r>
              <w:rPr>
                <w:b w:val="0"/>
                <w:sz w:val="18"/>
              </w:rPr>
              <w:t>Rotina de reconciliação, cobrança, disciplina de PO e gestão de exceções.</w:t>
            </w:r>
          </w:p>
        </w:tc>
      </w:tr>
      <w:tr>
        <w:tc>
          <w:tcPr>
            <w:tcW w:type="dxa" w:w="2556"/>
            <w:vAlign w:val="center"/>
          </w:tcPr>
          <w:p>
            <w:r/>
            <w:r>
              <w:rPr>
                <w:b w:val="0"/>
                <w:sz w:val="18"/>
              </w:rPr>
              <w:t>5</w:t>
            </w:r>
          </w:p>
        </w:tc>
        <w:tc>
          <w:tcPr>
            <w:tcW w:type="dxa" w:w="2556"/>
            <w:vAlign w:val="center"/>
          </w:tcPr>
          <w:p>
            <w:r/>
            <w:r>
              <w:rPr>
                <w:b w:val="0"/>
                <w:sz w:val="18"/>
              </w:rPr>
              <w:t>Compras</w:t>
            </w:r>
          </w:p>
        </w:tc>
        <w:tc>
          <w:tcPr>
            <w:tcW w:type="dxa" w:w="2556"/>
            <w:vAlign w:val="center"/>
          </w:tcPr>
          <w:p>
            <w:r/>
            <w:r>
              <w:rPr>
                <w:b w:val="0"/>
                <w:sz w:val="18"/>
              </w:rPr>
              <w:t>Mais lacunas de aprovação, revisões de fornecedor pendentes e contratos vencidos.</w:t>
            </w:r>
          </w:p>
        </w:tc>
        <w:tc>
          <w:tcPr>
            <w:tcW w:type="dxa" w:w="2556"/>
            <w:vAlign w:val="center"/>
          </w:tcPr>
          <w:p>
            <w:r/>
            <w:r>
              <w:rPr>
                <w:b w:val="0"/>
                <w:sz w:val="18"/>
              </w:rPr>
              <w:t>Fluxo de aprovação, revisão de fornecedores e agenda de renovação contratual.</w:t>
            </w:r>
          </w:p>
        </w:tc>
      </w:tr>
    </w:tbl>
    <w:p/>
    <w:p>
      <w:r>
        <w:rPr>
          <w:b/>
        </w:rPr>
        <w:t xml:space="preserve">Prioridade integrada: </w:t>
      </w:r>
      <w:r>
        <w:t>Qualidade, Produção e Logística aparecem como o núcleo operacional mais sensível no cenário. O tratamento deve evitar ações isoladas que apenas deslocam o problema de um departamento para outro.</w:t>
      </w:r>
    </w:p>
    <w:p>
      <w:pPr>
        <w:pStyle w:val="Heading1"/>
      </w:pPr>
      <w:r>
        <w:t>6. O que os trabalhadores precisam receber da gestão</w:t>
      </w:r>
    </w:p>
    <w:p>
      <w:r>
        <w:t>Uma auditoria útil não deve chegar à fábrica apenas com uma lista de não conformidades. Ela deve transformar o problema em apoio prático. No cenário simulado, as equipes se beneficiariam de:</w:t>
      </w:r>
    </w:p>
    <w:p>
      <w:pPr>
        <w:pStyle w:val="ListBullet"/>
        <w:spacing w:after="40"/>
      </w:pPr>
      <w:r>
        <w:t>metas operacionais claras e poucas, acompanhadas diariamente onde fizer sentido;</w:t>
      </w:r>
    </w:p>
    <w:p>
      <w:pPr>
        <w:pStyle w:val="ListBullet"/>
        <w:spacing w:after="40"/>
      </w:pPr>
      <w:r>
        <w:t>priorização explícita: o que deve ser corrigido agora, o que pode esperar e o que precisa de engenharia;</w:t>
      </w:r>
    </w:p>
    <w:p>
      <w:pPr>
        <w:pStyle w:val="ListBullet"/>
        <w:spacing w:after="40"/>
      </w:pPr>
      <w:r>
        <w:t>tempo protegido para treinamento e reciclagem nos pontos que mais geram erro ou retrabalho;</w:t>
      </w:r>
    </w:p>
    <w:p>
      <w:pPr>
        <w:pStyle w:val="ListBullet"/>
        <w:spacing w:after="40"/>
      </w:pPr>
      <w:r>
        <w:t>rotinas simples de escalonamento de exceções, sem penalizar quem identifica o problema cedo;</w:t>
      </w:r>
    </w:p>
    <w:p>
      <w:pPr>
        <w:pStyle w:val="ListBullet"/>
        <w:spacing w:after="40"/>
      </w:pPr>
      <w:r>
        <w:t>reuniões curtas entre Qualidade, Produção e Logística para problemas que atravessam departamentos;</w:t>
      </w:r>
    </w:p>
    <w:p>
      <w:pPr>
        <w:pStyle w:val="ListBullet"/>
        <w:spacing w:after="40"/>
      </w:pPr>
      <w:r>
        <w:t>controle visual das ações de CAPA, manutenção, estoque e reconciliação, com responsável e prazo;</w:t>
      </w:r>
    </w:p>
    <w:p>
      <w:pPr>
        <w:pStyle w:val="ListBullet"/>
        <w:spacing w:after="40"/>
      </w:pPr>
      <w:r>
        <w:t>separação entre fato comprovado, hipótese, pendência e decisão humana.</w:t>
      </w:r>
    </w:p>
    <w:p>
      <w:pPr>
        <w:pStyle w:val="Heading1"/>
      </w:pPr>
      <w:r>
        <w:t>7. Plano de apoio 30-60-90 dias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Horizonte</w:t>
            </w:r>
          </w:p>
        </w:tc>
        <w:tc>
          <w:tcPr>
            <w:tcW w:type="dxa" w:w="2556"/>
            <w:vAlign w:val="center"/>
            <w:shd w:fill="D9EAF7"/>
          </w:tcPr>
          <w:p>
            <w:r/>
            <w:r>
              <w:rPr>
                <w:b/>
                <w:sz w:val="18"/>
              </w:rPr>
              <w:t>Objetivo</w:t>
            </w:r>
          </w:p>
        </w:tc>
        <w:tc>
          <w:tcPr>
            <w:tcW w:type="dxa" w:w="2556"/>
            <w:vAlign w:val="center"/>
            <w:shd w:fill="D9EAF7"/>
          </w:tcPr>
          <w:p>
            <w:r/>
            <w:r>
              <w:rPr>
                <w:b/>
                <w:sz w:val="18"/>
              </w:rPr>
              <w:t>Ações</w:t>
            </w:r>
          </w:p>
        </w:tc>
        <w:tc>
          <w:tcPr>
            <w:tcW w:type="dxa" w:w="2556"/>
            <w:vAlign w:val="center"/>
            <w:shd w:fill="D9EAF7"/>
          </w:tcPr>
          <w:p>
            <w:r/>
            <w:r>
              <w:rPr>
                <w:b/>
                <w:sz w:val="18"/>
              </w:rPr>
              <w:t>Indicadores</w:t>
            </w:r>
          </w:p>
        </w:tc>
      </w:tr>
      <w:tr>
        <w:tc>
          <w:tcPr>
            <w:tcW w:type="dxa" w:w="2556"/>
            <w:vAlign w:val="center"/>
          </w:tcPr>
          <w:p>
            <w:r/>
            <w:r>
              <w:rPr>
                <w:b w:val="0"/>
                <w:sz w:val="18"/>
              </w:rPr>
              <w:t>0-30 dias</w:t>
            </w:r>
          </w:p>
        </w:tc>
        <w:tc>
          <w:tcPr>
            <w:tcW w:type="dxa" w:w="2556"/>
            <w:vAlign w:val="center"/>
          </w:tcPr>
          <w:p>
            <w:r/>
            <w:r>
              <w:rPr>
                <w:b w:val="0"/>
                <w:sz w:val="18"/>
              </w:rPr>
              <w:t>Conter riscos imediatos</w:t>
            </w:r>
          </w:p>
        </w:tc>
        <w:tc>
          <w:tcPr>
            <w:tcW w:type="dxa" w:w="2556"/>
            <w:vAlign w:val="center"/>
          </w:tcPr>
          <w:p>
            <w:r/>
            <w:r>
              <w:rPr>
                <w:b w:val="0"/>
                <w:sz w:val="18"/>
              </w:rPr>
              <w:t>Revisar CAPAs críticas; eliminar manutenção de alto risco vencida; reconciliar divergências de estoque e banco; listar contratos vencidos.</w:t>
            </w:r>
          </w:p>
        </w:tc>
        <w:tc>
          <w:tcPr>
            <w:tcW w:type="dxa" w:w="2556"/>
            <w:vAlign w:val="center"/>
          </w:tcPr>
          <w:p>
            <w:r/>
            <w:r>
              <w:rPr>
                <w:b w:val="0"/>
                <w:sz w:val="18"/>
              </w:rPr>
              <w:t>CAPAs críticas em dia; itens de reconciliação abertos; manutenção crítica atrasada; divergências abertas.</w:t>
            </w:r>
          </w:p>
        </w:tc>
      </w:tr>
      <w:tr>
        <w:tc>
          <w:tcPr>
            <w:tcW w:type="dxa" w:w="2556"/>
            <w:vAlign w:val="center"/>
          </w:tcPr>
          <w:p>
            <w:r/>
            <w:r>
              <w:rPr>
                <w:b w:val="0"/>
                <w:sz w:val="18"/>
              </w:rPr>
              <w:t>31-60 dias</w:t>
            </w:r>
          </w:p>
        </w:tc>
        <w:tc>
          <w:tcPr>
            <w:tcW w:type="dxa" w:w="2556"/>
            <w:vAlign w:val="center"/>
          </w:tcPr>
          <w:p>
            <w:r/>
            <w:r>
              <w:rPr>
                <w:b w:val="0"/>
                <w:sz w:val="18"/>
              </w:rPr>
              <w:t>Estabilizar processo</w:t>
            </w:r>
          </w:p>
        </w:tc>
        <w:tc>
          <w:tcPr>
            <w:tcW w:type="dxa" w:w="2556"/>
            <w:vAlign w:val="center"/>
          </w:tcPr>
          <w:p>
            <w:r/>
            <w:r>
              <w:rPr>
                <w:b w:val="0"/>
                <w:sz w:val="18"/>
              </w:rPr>
              <w:t>Padronizar causa-raiz; revisar aprovações de compras; reforçar treinamento; ajustar expedição e inventário.</w:t>
            </w:r>
          </w:p>
        </w:tc>
        <w:tc>
          <w:tcPr>
            <w:tcW w:type="dxa" w:w="2556"/>
            <w:vAlign w:val="center"/>
          </w:tcPr>
          <w:p>
            <w:r/>
            <w:r>
              <w:rPr>
                <w:b w:val="0"/>
                <w:sz w:val="18"/>
              </w:rPr>
              <w:t>Rejeição; desperdício; entrega no prazo; acurácia de estoque; aderência ao plano.</w:t>
            </w:r>
          </w:p>
        </w:tc>
      </w:tr>
      <w:tr>
        <w:tc>
          <w:tcPr>
            <w:tcW w:type="dxa" w:w="2556"/>
            <w:vAlign w:val="center"/>
          </w:tcPr>
          <w:p>
            <w:r/>
            <w:r>
              <w:rPr>
                <w:b w:val="0"/>
                <w:sz w:val="18"/>
              </w:rPr>
              <w:t>61-90 dias</w:t>
            </w:r>
          </w:p>
        </w:tc>
        <w:tc>
          <w:tcPr>
            <w:tcW w:type="dxa" w:w="2556"/>
            <w:vAlign w:val="center"/>
          </w:tcPr>
          <w:p>
            <w:r/>
            <w:r>
              <w:rPr>
                <w:b w:val="0"/>
                <w:sz w:val="18"/>
              </w:rPr>
              <w:t>Consolidar capacidade</w:t>
            </w:r>
          </w:p>
        </w:tc>
        <w:tc>
          <w:tcPr>
            <w:tcW w:type="dxa" w:w="2556"/>
            <w:vAlign w:val="center"/>
          </w:tcPr>
          <w:p>
            <w:r/>
            <w:r>
              <w:rPr>
                <w:b w:val="0"/>
                <w:sz w:val="18"/>
              </w:rPr>
              <w:t>Automatizar alertas; revisar indicadores por área; institucionalizar revisão cruzada Qualidade-Produção-Logística.</w:t>
            </w:r>
          </w:p>
        </w:tc>
        <w:tc>
          <w:tcPr>
            <w:tcW w:type="dxa" w:w="2556"/>
            <w:vAlign w:val="center"/>
          </w:tcPr>
          <w:p>
            <w:r/>
            <w:r>
              <w:rPr>
                <w:b w:val="0"/>
                <w:sz w:val="18"/>
              </w:rPr>
              <w:t>Tendência de defeitos; paradas; devoluções; DSO; compliance de fornecedores.</w:t>
            </w:r>
          </w:p>
        </w:tc>
      </w:tr>
    </w:tbl>
    <w:p/>
    <w:p>
      <w:pPr>
        <w:pStyle w:val="Heading1"/>
      </w:pPr>
      <w:r>
        <w:t>8. Governança e rastreabilidade</w:t>
      </w:r>
    </w:p>
    <w:p>
      <w:r>
        <w:t>A arquitetura usada no ensaio é coerente com a documentação fornecida: TCRIA organiza a evidência e sua governança; Quinta Ordem atua como camada determinística de verificação; Precision Gate acompanha a informação em movimento, preservando proveniência, estado, suporte, warnings, decisões de gate e necessidade de revisão humana.</w:t>
      </w:r>
    </w:p>
    <w:p>
      <w:pPr>
        <w:pStyle w:val="ListBullet"/>
        <w:spacing w:after="40"/>
      </w:pPr>
      <w:r>
        <w:t>A falha de leitura não é promovida a evidência lida.</w:t>
      </w:r>
    </w:p>
    <w:p>
      <w:pPr>
        <w:pStyle w:val="ListBullet"/>
        <w:spacing w:after="40"/>
      </w:pPr>
      <w:r>
        <w:t>A cadeia pode continuar através de nulos, opiniões, hipóteses, warnings e estados pendentes, desde que não haja promoção além do suporte disponível.</w:t>
      </w:r>
    </w:p>
    <w:p>
      <w:pPr>
        <w:pStyle w:val="ListBullet"/>
        <w:spacing w:after="40"/>
      </w:pPr>
      <w:r>
        <w:t>A decisão final continua humana.</w:t>
      </w:r>
    </w:p>
    <w:p>
      <w:pPr>
        <w:pStyle w:val="ListBullet"/>
        <w:spacing w:after="40"/>
      </w:pPr>
      <w:r>
        <w:t>O Precision produz relatórios derivados e não substitui a evidência original.</w:t>
      </w:r>
    </w:p>
    <w:p>
      <w:pPr>
        <w:pStyle w:val="ListBullet"/>
        <w:spacing w:after="40"/>
      </w:pPr>
      <w:r>
        <w:t>A cadeia de custódia é verificável por hash e checkpoints.</w:t>
      </w:r>
    </w:p>
    <w:p>
      <w:pPr>
        <w:pStyle w:val="Heading1"/>
      </w:pPr>
      <w:r>
        <w:t>9. Como uma IA de negócios deve usar este relatório</w:t>
      </w:r>
    </w:p>
    <w:p>
      <w:r>
        <w:t>Uma IA conectada posteriormente ao conjunto não deve receber apenas um texto conclusivo. O desenho mais seguro é entregar o conjunto estruturado de fatos, estados, hashes, gates e trilhas para que a IA faça a camada de síntese sobre material organizado. A proposta teórica do TCR-IA enfatiza justamente a transformação de material disperso em estrutura, preservando a autoria e a agência humanas; o material sobre interação humano-IA também ressalta que a apresentação pode influenciar decisões, o que reforça a importância da separação entre evidência e interpretação.</w:t>
      </w:r>
    </w:p>
    <w:p>
      <w:pPr>
        <w:pStyle w:val="Heading1"/>
      </w:pPr>
      <w:r>
        <w:t>10. Fonte de conhecimento usada</w:t>
      </w:r>
    </w:p>
    <w:p>
      <w:pPr>
        <w:pStyle w:val="ListBullet"/>
        <w:spacing w:after="40"/>
      </w:pPr>
      <w:r>
        <w:t>Pacote de simulação Precision Gate / fábrica de calçados: shoe-factory-clean_final_report.json e shoe-factory-failure_final_report.json, mais bundles TCRIA.</w:t>
      </w:r>
    </w:p>
    <w:p>
      <w:pPr>
        <w:pStyle w:val="ListBullet"/>
        <w:spacing w:after="40"/>
      </w:pPr>
      <w:r>
        <w:t>README do Precision Gate e seus contratos/arquitetura enviados na conversa.</w:t>
      </w:r>
    </w:p>
    <w:p>
      <w:pPr>
        <w:pStyle w:val="ListBullet"/>
        <w:spacing w:after="40"/>
      </w:pPr>
      <w:r>
        <w:t>TCR-IA - Versão Integral Completa (Blocos 1-4 Consolidados).</w:t>
      </w:r>
    </w:p>
    <w:p>
      <w:pPr>
        <w:pStyle w:val="ListBullet"/>
        <w:spacing w:after="40"/>
      </w:pPr>
      <w:r>
        <w:t>Parecer Técnico TCRIA - Teoria Cognitiva Reflexiva com Inteligência Artificial.</w:t>
      </w:r>
    </w:p>
    <w:p>
      <w:pPr>
        <w:pStyle w:val="ListBullet"/>
        <w:spacing w:after="40"/>
      </w:pPr>
      <w:r>
        <w:t>Hipótese Técnica - Sistema TCRA-Energia.</w:t>
      </w:r>
    </w:p>
    <w:p>
      <w:pPr>
        <w:pStyle w:val="ListBullet"/>
        <w:spacing w:after="40"/>
      </w:pPr>
      <w:r>
        <w:t>Como o TCR-IA pode aumentar a eficiência energética em até 60% (usado apenas como referência metodológica de medição, governança e M&amp;V; não como evidência de ganho nesta fábrica).</w:t>
      </w:r>
    </w:p>
    <w:p>
      <w:pPr>
        <w:pStyle w:val="ListBullet"/>
        <w:spacing w:after="40"/>
      </w:pPr>
      <w:r>
        <w:t>Reflections on Emotions and AI / material sobre colaboração humano-IA.</w:t>
      </w:r>
    </w:p>
    <w:p>
      <w:pPr>
        <w:pStyle w:val="ListBullet"/>
        <w:spacing w:after="40"/>
      </w:pPr>
      <w:r>
        <w:t>Artigo Multilíngue - Tecnologia da Informação e Diplomacia.</w:t>
      </w:r>
    </w:p>
    <w:p>
      <w:pPr>
        <w:pStyle w:val="ListBullet"/>
        <w:spacing w:after="40"/>
      </w:pPr>
      <w:r>
        <w:t>Documentação e versão consolidada do projeto TCR-IA.</w:t>
      </w:r>
    </w:p>
    <w:p>
      <w:pPr>
        <w:pStyle w:val="ListBullet"/>
        <w:spacing w:after="40"/>
      </w:pPr>
      <w:r>
        <w:t>Material teórico e validação empírica da Quinta Ordem.</w:t>
      </w:r>
    </w:p>
    <w:p>
      <w:pPr>
        <w:pStyle w:val="Heading1"/>
      </w:pPr>
      <w:r>
        <w:t>11. Limitações</w:t>
      </w:r>
    </w:p>
    <w:p>
      <w:r>
        <w:t>Este relatório é uma peça de análise gerencial sobre uma simulação sintética. Não comprova fatos de uma empresa real, não substitui auditoria independente, contabilidade, engenharia de segurança, qualidade ou qualquer autoridade competente. As recomendações de negócio derivam do cenário fornecido e das propriedades demonstradas pela simulação; antes de uma decisão real, devem ser ligadas a documentos reais, métricas verificáveis, responsáveis e prazos.</w:t>
      </w:r>
    </w:p>
    <w:p>
      <w:pPr>
        <w:pStyle w:val="Heading1"/>
        <w:pageBreakBefore/>
      </w:pPr>
      <w:r>
        <w:t>Apêndice A - Identidade da execução</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Traço</w:t>
            </w:r>
          </w:p>
        </w:tc>
        <w:tc>
          <w:tcPr>
            <w:tcW w:type="dxa" w:w="3408"/>
            <w:vAlign w:val="center"/>
            <w:shd w:fill="D9EAF7"/>
          </w:tcPr>
          <w:p>
            <w:r/>
            <w:r>
              <w:rPr>
                <w:b/>
                <w:sz w:val="18"/>
              </w:rPr>
              <w:t>Execução limpa</w:t>
            </w:r>
          </w:p>
        </w:tc>
        <w:tc>
          <w:tcPr>
            <w:tcW w:type="dxa" w:w="3408"/>
            <w:vAlign w:val="center"/>
            <w:shd w:fill="D9EAF7"/>
          </w:tcPr>
          <w:p>
            <w:r/>
            <w:r>
              <w:rPr>
                <w:b/>
                <w:sz w:val="18"/>
              </w:rPr>
              <w:t>Execução com falhas</w:t>
            </w:r>
          </w:p>
        </w:tc>
      </w:tr>
      <w:tr>
        <w:tc>
          <w:tcPr>
            <w:tcW w:type="dxa" w:w="3408"/>
            <w:vAlign w:val="center"/>
          </w:tcPr>
          <w:p>
            <w:r/>
            <w:r>
              <w:rPr>
                <w:b w:val="0"/>
                <w:sz w:val="18"/>
              </w:rPr>
              <w:t>trace_id</w:t>
            </w:r>
          </w:p>
        </w:tc>
        <w:tc>
          <w:tcPr>
            <w:tcW w:type="dxa" w:w="3408"/>
            <w:vAlign w:val="center"/>
          </w:tcPr>
          <w:p>
            <w:r/>
            <w:r>
              <w:rPr>
                <w:b w:val="0"/>
                <w:sz w:val="18"/>
              </w:rPr>
              <w:t>shoe-factory-clean</w:t>
            </w:r>
          </w:p>
        </w:tc>
        <w:tc>
          <w:tcPr>
            <w:tcW w:type="dxa" w:w="3408"/>
            <w:vAlign w:val="center"/>
          </w:tcPr>
          <w:p>
            <w:r/>
            <w:r>
              <w:rPr>
                <w:b w:val="0"/>
                <w:sz w:val="18"/>
              </w:rPr>
              <w:t>shoe-factory-failure</w:t>
            </w:r>
          </w:p>
        </w:tc>
      </w:tr>
      <w:tr>
        <w:tc>
          <w:tcPr>
            <w:tcW w:type="dxa" w:w="3408"/>
            <w:vAlign w:val="center"/>
          </w:tcPr>
          <w:p>
            <w:r/>
            <w:r>
              <w:rPr>
                <w:b w:val="0"/>
                <w:sz w:val="18"/>
              </w:rPr>
              <w:t>final_chain_sha256</w:t>
            </w:r>
          </w:p>
        </w:tc>
        <w:tc>
          <w:tcPr>
            <w:tcW w:type="dxa" w:w="3408"/>
            <w:vAlign w:val="center"/>
          </w:tcPr>
          <w:p>
            <w:r/>
            <w:r>
              <w:rPr>
                <w:b w:val="0"/>
                <w:sz w:val="18"/>
              </w:rPr>
              <w:t>3b2c61ebea99ff6f9018a4c1585c0d8aa729d108f480cecf2800b30692955dbf</w:t>
            </w:r>
          </w:p>
        </w:tc>
        <w:tc>
          <w:tcPr>
            <w:tcW w:type="dxa" w:w="3408"/>
            <w:vAlign w:val="center"/>
          </w:tcPr>
          <w:p>
            <w:r/>
            <w:r>
              <w:rPr>
                <w:b w:val="0"/>
                <w:sz w:val="18"/>
              </w:rPr>
              <w:t>3a2dc585bce96220b3fca9e274e47b245225551ca963423c77b4053619a31a6f</w:t>
            </w:r>
          </w:p>
        </w:tc>
      </w:tr>
      <w:tr>
        <w:tc>
          <w:tcPr>
            <w:tcW w:type="dxa" w:w="3408"/>
            <w:vAlign w:val="center"/>
          </w:tcPr>
          <w:p>
            <w:r/>
            <w:r>
              <w:rPr>
                <w:b w:val="0"/>
                <w:sz w:val="18"/>
              </w:rPr>
              <w:t>checkpoint_count</w:t>
            </w:r>
          </w:p>
        </w:tc>
        <w:tc>
          <w:tcPr>
            <w:tcW w:type="dxa" w:w="3408"/>
            <w:vAlign w:val="center"/>
          </w:tcPr>
          <w:p>
            <w:r/>
            <w:r>
              <w:rPr>
                <w:b w:val="0"/>
                <w:sz w:val="18"/>
              </w:rPr>
              <w:t>304</w:t>
            </w:r>
          </w:p>
        </w:tc>
        <w:tc>
          <w:tcPr>
            <w:tcW w:type="dxa" w:w="3408"/>
            <w:vAlign w:val="center"/>
          </w:tcPr>
          <w:p>
            <w:r/>
            <w:r>
              <w:rPr>
                <w:b w:val="0"/>
                <w:sz w:val="18"/>
              </w:rPr>
              <w:t>303</w:t>
            </w:r>
          </w:p>
        </w:tc>
      </w:tr>
      <w:tr>
        <w:tc>
          <w:tcPr>
            <w:tcW w:type="dxa" w:w="3408"/>
            <w:vAlign w:val="center"/>
          </w:tcPr>
          <w:p>
            <w:r/>
            <w:r>
              <w:rPr>
                <w:b w:val="0"/>
                <w:sz w:val="18"/>
              </w:rPr>
              <w:t>released</w:t>
            </w:r>
          </w:p>
        </w:tc>
        <w:tc>
          <w:tcPr>
            <w:tcW w:type="dxa" w:w="3408"/>
            <w:vAlign w:val="center"/>
          </w:tcPr>
          <w:p>
            <w:r/>
            <w:r>
              <w:rPr>
                <w:b w:val="0"/>
                <w:sz w:val="18"/>
              </w:rPr>
              <w:t>[{'event_id': 'shoe-factory-clean:precision:release', 'information_id': 'shoe-factory-clean:release', 'state': 'released', 'summary': 'Output is eligible for delivery to the responsible human or institutional flow.', 'support_refs': ['shoe-factory-clean:quinta:decision', 'shoe-factory-clean:human:review-001', '09a1281524025ba75d968bf05b9125ee5c063a0f846c7fd607e079cc9f15825d']}]</w:t>
            </w:r>
          </w:p>
        </w:tc>
        <w:tc>
          <w:tcPr>
            <w:tcW w:type="dxa" w:w="3408"/>
            <w:vAlign w:val="center"/>
          </w:tcPr>
          <w:p>
            <w:r/>
            <w:r>
              <w:rPr>
                <w:b w:val="0"/>
                <w:sz w:val="18"/>
              </w:rPr>
              <w:t>[]</w:t>
            </w:r>
          </w:p>
        </w:tc>
      </w:tr>
      <w:tr>
        <w:tc>
          <w:tcPr>
            <w:tcW w:type="dxa" w:w="3408"/>
            <w:vAlign w:val="center"/>
          </w:tcPr>
          <w:p>
            <w:r/>
            <w:r>
              <w:rPr>
                <w:b w:val="0"/>
                <w:sz w:val="18"/>
              </w:rPr>
              <w:t>gate_status</w:t>
            </w:r>
          </w:p>
        </w:tc>
        <w:tc>
          <w:tcPr>
            <w:tcW w:type="dxa" w:w="3408"/>
            <w:vAlign w:val="center"/>
          </w:tcPr>
          <w:p>
            <w:r/>
            <w:r>
              <w:rPr>
                <w:b w:val="0"/>
                <w:sz w:val="18"/>
              </w:rPr>
              <w:t>approved</w:t>
            </w:r>
          </w:p>
        </w:tc>
        <w:tc>
          <w:tcPr>
            <w:tcW w:type="dxa" w:w="3408"/>
            <w:vAlign w:val="center"/>
          </w:tcPr>
          <w:p>
            <w:r/>
            <w:r>
              <w:rPr>
                <w:b w:val="0"/>
                <w:sz w:val="18"/>
              </w:rPr>
              <w:t>approved</w:t>
            </w:r>
          </w:p>
        </w:tc>
      </w:tr>
      <w:tr>
        <w:tc>
          <w:tcPr>
            <w:tcW w:type="dxa" w:w="3408"/>
            <w:vAlign w:val="center"/>
          </w:tcPr>
          <w:p>
            <w:r/>
            <w:r>
              <w:rPr>
                <w:b w:val="0"/>
                <w:sz w:val="18"/>
              </w:rPr>
              <w:t>human_outcome</w:t>
            </w:r>
          </w:p>
        </w:tc>
        <w:tc>
          <w:tcPr>
            <w:tcW w:type="dxa" w:w="3408"/>
            <w:vAlign w:val="center"/>
          </w:tcPr>
          <w:p>
            <w:r/>
            <w:r>
              <w:rPr>
                <w:b w:val="0"/>
                <w:sz w:val="18"/>
              </w:rPr>
              <w:t>accepted</w:t>
            </w:r>
          </w:p>
        </w:tc>
        <w:tc>
          <w:tcPr>
            <w:tcW w:type="dxa" w:w="3408"/>
            <w:vAlign w:val="center"/>
          </w:tcPr>
          <w:p>
            <w:r/>
            <w:r>
              <w:rPr>
                <w:b w:val="0"/>
                <w:sz w:val="18"/>
              </w:rPr>
              <w:t>accepted</w:t>
            </w:r>
          </w:p>
        </w:tc>
      </w:tr>
    </w:tbl>
    <w:p/>
    <w:p>
      <w:r>
        <w:t>Os hashes e trace_ids acima servem como identificadores da simulação e não constituem assinatura de uma empresa real.</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Relatório sintético - TCRIA / Quinta Ordem / Precision Gate | Evidência e interpretação separadas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