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F0213" w14:textId="77777777" w:rsidR="008922C8" w:rsidRPr="00F52A3C" w:rsidRDefault="002D7A1E" w:rsidP="00EF4CEB">
      <w:pPr>
        <w:jc w:val="both"/>
        <w:rPr>
          <w:lang w:val="es-ES_tradnl"/>
        </w:rPr>
      </w:pPr>
      <w:r w:rsidRPr="00F52A3C">
        <w:rPr>
          <w:noProof/>
          <w:lang w:val="es-ES"/>
        </w:rPr>
        <w:drawing>
          <wp:inline distT="0" distB="0" distL="0" distR="0" wp14:anchorId="1583BC4E" wp14:editId="79DBBCEC">
            <wp:extent cx="2515235" cy="470137"/>
            <wp:effectExtent l="0" t="0" r="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5886" cy="470259"/>
                    </a:xfrm>
                    <a:prstGeom prst="rect">
                      <a:avLst/>
                    </a:prstGeom>
                    <a:noFill/>
                    <a:ln>
                      <a:noFill/>
                    </a:ln>
                  </pic:spPr>
                </pic:pic>
              </a:graphicData>
            </a:graphic>
          </wp:inline>
        </w:drawing>
      </w:r>
    </w:p>
    <w:p w14:paraId="70AF8132" w14:textId="77777777" w:rsidR="002D7A1E" w:rsidRPr="00F52A3C" w:rsidRDefault="002D7A1E" w:rsidP="00EF4CEB">
      <w:pPr>
        <w:jc w:val="both"/>
        <w:rPr>
          <w:lang w:val="es-ES_tradnl"/>
        </w:rPr>
      </w:pPr>
    </w:p>
    <w:p w14:paraId="17FC4364" w14:textId="77777777" w:rsidR="002D7A1E" w:rsidRPr="00F52A3C" w:rsidRDefault="002D7A1E" w:rsidP="00EF4CEB">
      <w:pPr>
        <w:jc w:val="both"/>
        <w:rPr>
          <w:rFonts w:asciiTheme="majorHAnsi" w:hAnsiTheme="majorHAnsi"/>
          <w:b/>
          <w:sz w:val="28"/>
          <w:szCs w:val="28"/>
          <w:lang w:val="es-ES_tradnl"/>
        </w:rPr>
      </w:pPr>
      <w:r w:rsidRPr="00F52A3C">
        <w:rPr>
          <w:rFonts w:asciiTheme="majorHAnsi" w:hAnsiTheme="majorHAnsi"/>
          <w:b/>
          <w:sz w:val="28"/>
          <w:szCs w:val="28"/>
          <w:lang w:val="es-ES_tradnl"/>
        </w:rPr>
        <w:t>Proyecto Colaborativo de Desarrollo de Software</w:t>
      </w:r>
    </w:p>
    <w:p w14:paraId="43B22048" w14:textId="77777777" w:rsidR="002D7A1E" w:rsidRPr="00F52A3C" w:rsidRDefault="002D7A1E" w:rsidP="00EF4CEB">
      <w:pPr>
        <w:jc w:val="both"/>
        <w:rPr>
          <w:rFonts w:asciiTheme="majorHAnsi" w:hAnsiTheme="majorHAnsi"/>
          <w:b/>
          <w:sz w:val="28"/>
          <w:szCs w:val="28"/>
          <w:lang w:val="es-ES_tradnl"/>
        </w:rPr>
      </w:pPr>
    </w:p>
    <w:p w14:paraId="238D328A" w14:textId="27685C60" w:rsidR="00F52A3C" w:rsidRPr="00F52A3C" w:rsidRDefault="00F52A3C" w:rsidP="00EF4CEB">
      <w:pPr>
        <w:jc w:val="both"/>
        <w:rPr>
          <w:rFonts w:asciiTheme="majorHAnsi" w:hAnsiTheme="majorHAnsi"/>
          <w:b/>
          <w:lang w:val="es-ES_tradnl"/>
        </w:rPr>
      </w:pPr>
      <w:r w:rsidRPr="00F52A3C">
        <w:rPr>
          <w:rFonts w:asciiTheme="majorHAnsi" w:hAnsiTheme="majorHAnsi"/>
          <w:b/>
          <w:lang w:val="es-ES_tradnl"/>
        </w:rPr>
        <w:t>Nombre del proyecto:</w:t>
      </w:r>
      <w:r w:rsidR="00FA6D74">
        <w:rPr>
          <w:rFonts w:asciiTheme="majorHAnsi" w:hAnsiTheme="majorHAnsi"/>
          <w:b/>
          <w:lang w:val="es-ES_tradnl"/>
        </w:rPr>
        <w:t xml:space="preserve"> </w:t>
      </w:r>
      <w:r w:rsidR="00FA6D74" w:rsidRPr="00FA6D74">
        <w:rPr>
          <w:rFonts w:asciiTheme="majorHAnsi" w:hAnsiTheme="majorHAnsi"/>
          <w:lang w:val="es-ES_tradnl"/>
        </w:rPr>
        <w:t xml:space="preserve">Creación automática de redes en </w:t>
      </w:r>
      <w:proofErr w:type="spellStart"/>
      <w:r w:rsidR="00FA6D74" w:rsidRPr="00FA6D74">
        <w:rPr>
          <w:rFonts w:asciiTheme="majorHAnsi" w:hAnsiTheme="majorHAnsi"/>
          <w:lang w:val="es-ES_tradnl"/>
        </w:rPr>
        <w:t>Cytoscape</w:t>
      </w:r>
      <w:proofErr w:type="spellEnd"/>
    </w:p>
    <w:p w14:paraId="7AD89D70" w14:textId="77777777" w:rsidR="00F52A3C" w:rsidRPr="00F52A3C" w:rsidRDefault="00F52A3C" w:rsidP="00EF4CEB">
      <w:pPr>
        <w:jc w:val="both"/>
        <w:rPr>
          <w:rFonts w:asciiTheme="majorHAnsi" w:hAnsiTheme="majorHAnsi"/>
          <w:b/>
          <w:lang w:val="es-ES_tradnl"/>
        </w:rPr>
      </w:pPr>
    </w:p>
    <w:p w14:paraId="631CD290" w14:textId="58B81403" w:rsidR="00F52A3C" w:rsidRPr="00FA6D74" w:rsidRDefault="00F52A3C" w:rsidP="00EF4CEB">
      <w:pPr>
        <w:jc w:val="both"/>
        <w:rPr>
          <w:rFonts w:asciiTheme="majorHAnsi" w:hAnsiTheme="majorHAnsi"/>
          <w:lang w:val="es-ES_tradnl"/>
        </w:rPr>
      </w:pPr>
      <w:r w:rsidRPr="00F52A3C">
        <w:rPr>
          <w:rFonts w:asciiTheme="majorHAnsi" w:hAnsiTheme="majorHAnsi"/>
          <w:b/>
          <w:lang w:val="es-ES_tradnl"/>
        </w:rPr>
        <w:t>R</w:t>
      </w:r>
      <w:r>
        <w:rPr>
          <w:rFonts w:asciiTheme="majorHAnsi" w:hAnsiTheme="majorHAnsi"/>
          <w:b/>
          <w:lang w:val="es-ES_tradnl"/>
        </w:rPr>
        <w:t>esponsable principal:</w:t>
      </w:r>
      <w:r w:rsidR="00FA6D74">
        <w:rPr>
          <w:rFonts w:asciiTheme="majorHAnsi" w:hAnsiTheme="majorHAnsi"/>
          <w:b/>
          <w:lang w:val="es-ES_tradnl"/>
        </w:rPr>
        <w:t xml:space="preserve"> </w:t>
      </w:r>
      <w:r w:rsidR="00FA6D74" w:rsidRPr="00FA6D74">
        <w:rPr>
          <w:rFonts w:asciiTheme="majorHAnsi" w:hAnsiTheme="majorHAnsi"/>
          <w:lang w:val="es-ES_tradnl"/>
        </w:rPr>
        <w:t>Dra.</w:t>
      </w:r>
      <w:r w:rsidR="00FA6D74">
        <w:rPr>
          <w:rFonts w:asciiTheme="majorHAnsi" w:hAnsiTheme="majorHAnsi"/>
          <w:b/>
          <w:lang w:val="es-ES_tradnl"/>
        </w:rPr>
        <w:t xml:space="preserve"> </w:t>
      </w:r>
      <w:r w:rsidR="00FA6D74" w:rsidRPr="00FA6D74">
        <w:rPr>
          <w:rFonts w:asciiTheme="majorHAnsi" w:hAnsiTheme="majorHAnsi"/>
          <w:lang w:val="es-ES_tradnl"/>
        </w:rPr>
        <w:t xml:space="preserve">Daniela Ledezma </w:t>
      </w:r>
      <w:proofErr w:type="spellStart"/>
      <w:r w:rsidR="00FA6D74" w:rsidRPr="00FA6D74">
        <w:rPr>
          <w:rFonts w:asciiTheme="majorHAnsi" w:hAnsiTheme="majorHAnsi"/>
          <w:lang w:val="es-ES_tradnl"/>
        </w:rPr>
        <w:t>Tejeida</w:t>
      </w:r>
      <w:proofErr w:type="spellEnd"/>
      <w:r w:rsidR="00FA6D74">
        <w:rPr>
          <w:rFonts w:asciiTheme="majorHAnsi" w:hAnsiTheme="majorHAnsi"/>
          <w:lang w:val="es-ES_tradnl"/>
        </w:rPr>
        <w:t xml:space="preserve"> (dledezma@lcg.unam.mx)</w:t>
      </w:r>
    </w:p>
    <w:p w14:paraId="63C6C856" w14:textId="77777777" w:rsidR="00F52A3C" w:rsidRPr="00F52A3C" w:rsidRDefault="00F52A3C" w:rsidP="00EF4CEB">
      <w:pPr>
        <w:jc w:val="both"/>
        <w:rPr>
          <w:rFonts w:asciiTheme="majorHAnsi" w:hAnsiTheme="majorHAnsi"/>
          <w:b/>
          <w:lang w:val="es-ES_tradnl"/>
        </w:rPr>
      </w:pPr>
    </w:p>
    <w:p w14:paraId="5C0065E7" w14:textId="28E49427" w:rsidR="002D7A1E" w:rsidRDefault="002D7A1E" w:rsidP="00EF4CEB">
      <w:pPr>
        <w:jc w:val="both"/>
        <w:rPr>
          <w:rFonts w:asciiTheme="majorHAnsi" w:hAnsiTheme="majorHAnsi"/>
          <w:lang w:val="es-ES_tradnl"/>
        </w:rPr>
      </w:pPr>
      <w:r w:rsidRPr="00F52A3C">
        <w:rPr>
          <w:rFonts w:asciiTheme="majorHAnsi" w:hAnsiTheme="majorHAnsi"/>
          <w:b/>
          <w:lang w:val="es-ES_tradnl"/>
        </w:rPr>
        <w:t>Breve planteamiento del problema:</w:t>
      </w:r>
      <w:r w:rsidR="00FA6D74">
        <w:rPr>
          <w:rFonts w:asciiTheme="majorHAnsi" w:hAnsiTheme="majorHAnsi"/>
          <w:b/>
          <w:lang w:val="es-ES_tradnl"/>
        </w:rPr>
        <w:t xml:space="preserve"> </w:t>
      </w:r>
    </w:p>
    <w:p w14:paraId="2C590631" w14:textId="1612670B" w:rsidR="00D87B01" w:rsidRDefault="00D87B01" w:rsidP="00EF4CEB">
      <w:pPr>
        <w:jc w:val="both"/>
        <w:rPr>
          <w:rFonts w:asciiTheme="majorHAnsi" w:hAnsiTheme="majorHAnsi"/>
          <w:lang w:val="es-ES_tradnl"/>
        </w:rPr>
      </w:pPr>
      <w:r>
        <w:rPr>
          <w:rFonts w:asciiTheme="majorHAnsi" w:hAnsiTheme="majorHAnsi"/>
          <w:lang w:val="es-ES_tradnl"/>
        </w:rPr>
        <w:t xml:space="preserve">RegulonDB es la base de datos más completa de Regulación </w:t>
      </w:r>
      <w:proofErr w:type="spellStart"/>
      <w:r>
        <w:rPr>
          <w:rFonts w:asciiTheme="majorHAnsi" w:hAnsiTheme="majorHAnsi"/>
          <w:lang w:val="es-ES_tradnl"/>
        </w:rPr>
        <w:t>Transcripcional</w:t>
      </w:r>
      <w:proofErr w:type="spellEnd"/>
      <w:r>
        <w:rPr>
          <w:rFonts w:asciiTheme="majorHAnsi" w:hAnsiTheme="majorHAnsi"/>
          <w:lang w:val="es-ES_tradnl"/>
        </w:rPr>
        <w:t xml:space="preserve"> de </w:t>
      </w:r>
      <w:proofErr w:type="spellStart"/>
      <w:r>
        <w:rPr>
          <w:rFonts w:asciiTheme="majorHAnsi" w:hAnsiTheme="majorHAnsi"/>
          <w:i/>
          <w:lang w:val="es-ES_tradnl"/>
        </w:rPr>
        <w:t>Escherich</w:t>
      </w:r>
      <w:r w:rsidRPr="00D87B01">
        <w:rPr>
          <w:rFonts w:asciiTheme="majorHAnsi" w:hAnsiTheme="majorHAnsi"/>
          <w:i/>
          <w:lang w:val="es-ES_tradnl"/>
        </w:rPr>
        <w:t>i</w:t>
      </w:r>
      <w:r>
        <w:rPr>
          <w:rFonts w:asciiTheme="majorHAnsi" w:hAnsiTheme="majorHAnsi"/>
          <w:i/>
          <w:lang w:val="es-ES_tradnl"/>
        </w:rPr>
        <w:t>a</w:t>
      </w:r>
      <w:proofErr w:type="spellEnd"/>
      <w:r w:rsidRPr="00D87B01">
        <w:rPr>
          <w:rFonts w:asciiTheme="majorHAnsi" w:hAnsiTheme="majorHAnsi"/>
          <w:i/>
          <w:lang w:val="es-ES_tradnl"/>
        </w:rPr>
        <w:t xml:space="preserve"> coli</w:t>
      </w:r>
      <w:r w:rsidR="008B1910">
        <w:rPr>
          <w:rFonts w:asciiTheme="majorHAnsi" w:hAnsiTheme="majorHAnsi"/>
          <w:i/>
          <w:lang w:val="es-ES_tradnl"/>
        </w:rPr>
        <w:fldChar w:fldCharType="begin" w:fldLock="1"/>
      </w:r>
      <w:r w:rsidR="008B1910">
        <w:rPr>
          <w:rFonts w:asciiTheme="majorHAnsi" w:hAnsiTheme="majorHAnsi"/>
          <w:i/>
          <w:lang w:val="es-ES_tradnl"/>
        </w:rPr>
        <w:instrText>ADDIN CSL_CITATION { "citationItems" : [ { "id" : "ITEM-1", "itemData" : { "DOI" : "10.1093/nar/gkv1156", "ISSN" : "1362-4962", "PMID" : "26527724", "abstract" : "RegulonDB (http://regulondb.ccg.unam.mx) is one of the most useful and important resources on bacterial gene regulation,as it integrates the scattered scientific knowledge of the best-characterized organism, Escherichia coli K-12, in a database that organizes large amounts of data. Its electronic format enables researchers to compare their results with the legacy of previous knowledge and supports bioinformatics tools and model building. Here, we summarize our progress with RegulonDB since our last Nucleic Acids Research publication describing RegulonDB, in 2013. In addition to maintaining curation up-to-date, we report a collection of 232 interactions with small RNAs affecting 192 genes, and the complete repertoire of 189 Elementary Genetic Sensory-Response units (GENSOR units), integrating the signal, regulatory interactions, and metabolic pathways they govern. These additions represent major progress to a higher level of understanding of regulated processes. We have updated the computationally predicted transcription factors, which total 304 (184 with experimental evidence and 120 from computational predictions); we updated our position-weight matrices and have included tools for clustering them in evolutionary families. We describe our semiautomatic strategy to accelerate curation, including datasets from high-throughput experiments, a novel coexpression distance to search for 'neighborhood' genes to known operons and regulons, and computational developments.", "author" : [ { "dropping-particle" : "", "family" : "Gama-Castro", "given" : "Socorro", "non-dropping-particle" : "", "parse-names" : false, "suffix" : "" }, { "dropping-particle" : "", "family" : "Salgado", "given" : "Heladia", "non-dropping-particle" : "", "parse-names" : false, "suffix" : "" }, { "dropping-particle" : "", "family" : "Santos-Zavaleta", "given" : "Alberto", "non-dropping-particle" : "", "parse-names" : false, "suffix" : "" }, { "dropping-particle" : "", "family" : "Ledezma-Tejeida", "given" : "Daniela", "non-dropping-particle" : "", "parse-names" : false, "suffix" : "" }, { "dropping-particle" : "", "family" : "Mu\u00f1iz-Rascado", "given" : "Luis", "non-dropping-particle" : "", "parse-names" : false, "suffix" : "" }, { "dropping-particle" : "", "family" : "Garc\u00eda-Sotelo", "given" : "Jair Santiago", "non-dropping-particle" : "", "parse-names" : false, "suffix" : "" }, { "dropping-particle" : "", "family" : "Alquicira-Hern\u00e1ndez", "given" : "Kevin", "non-dropping-particle" : "", "parse-names" : false, "suffix" : "" }, { "dropping-particle" : "", "family" : "Mart\u00ednez-Flores", "given" : "Irma", "non-dropping-particle" : "", "parse-names" : false, "suffix" : "" }, { "dropping-particle" : "", "family" : "Pannier", "given" : "Lucia", "non-dropping-particle" : "", "parse-names" : false, "suffix" : "" }, { "dropping-particle" : "", "family" : "Castro-Mondrag\u00f3n", "given" : "Jaime Abraham", "non-dropping-particle" : "", "parse-names" : false, "suffix" : "" }, { "dropping-particle" : "", "family" : "Medina-Rivera", "given" : "Alejandra", "non-dropping-particle" : "", "parse-names" : false, "suffix" : "" }, { "dropping-particle" : "", "family" : "Solano-Lira", "given" : "Hilda", "non-dropping-particle" : "", "parse-names" : false, "suffix" : "" }, { "dropping-particle" : "", "family" : "Bonavides-Mart\u00ednez", "given" : "C\u00e9sar", "non-dropping-particle" : "", "parse-names" : false, "suffix" : "" }, { "dropping-particle" : "", "family" : "P\u00e9rez-Rueda", "given" : "Ernesto", "non-dropping-particle" : "", "parse-names" : false, "suffix" : "" }, { "dropping-particle" : "", "family" : "Alquicira-Hern\u00e1ndez", "given" : "Shirley", "non-dropping-particle" : "", "parse-names" : false, "suffix" : "" }, { "dropping-particle" : "", "family" : "Porr\u00f3n-Sotelo", "given" : "Liliana", "non-dropping-particle" : "", "parse-names" : false, "suffix" : "" }, { "dropping-particle" : "", "family" : "L\u00f3pez-Fuentes", "given" : "Alejandra", "non-dropping-particle" : "", "parse-names" : false, "suffix" : "" }, { "dropping-particle" : "", "family" : "Hern\u00e1ndez-Koutoucheva", "given" : "Anastasia", "non-dropping-particle" : "", "parse-names" : false, "suffix" : "" }, { "dropping-particle" : "Del", "family" : "Moral-Ch\u00e1vez", "given" : "V\u00edctor", "non-dropping-particle" : "", "parse-names" : false, "suffix" : "" }, { "dropping-particle" : "", "family" : "Rinaldi", "given" : "Fabio", "non-dropping-particle" : "", "parse-names" : false, "suffix" : "" }, { "dropping-particle" : "", "family" : "Collado-Vides", "given" : "Julio", "non-dropping-particle" : "", "parse-names" : false, "suffix" : "" } ], "container-title" : "Nucleic acids research", "id" : "ITEM-1", "issue" : "D1", "issued" : { "date-parts" : [ [ "2016", "1", "4" ] ] }, "page" : "D133-43", "title" : "RegulonDB version 9.0: high-level integration of gene regulation, coexpression, motif clustering and beyond.", "type" : "article-journal", "volume" : "44" }, "uris" : [ "http://www.mendeley.com/documents/?uuid=fd668e22-7d13-3fa2-b788-c08ced3340f9" ] } ], "mendeley" : { "formattedCitation" : "&lt;sup&gt;1&lt;/sup&gt;", "plainTextFormattedCitation" : "1", "previouslyFormattedCitation" : "&lt;sup&gt;1&lt;/sup&gt;" }, "properties" : { "noteIndex" : 0 }, "schema" : "https://github.com/citation-style-language/schema/raw/master/csl-citation.json" }</w:instrText>
      </w:r>
      <w:r w:rsidR="008B1910">
        <w:rPr>
          <w:rFonts w:asciiTheme="majorHAnsi" w:hAnsiTheme="majorHAnsi"/>
          <w:i/>
          <w:lang w:val="es-ES_tradnl"/>
        </w:rPr>
        <w:fldChar w:fldCharType="separate"/>
      </w:r>
      <w:r w:rsidR="008B1910" w:rsidRPr="008B1910">
        <w:rPr>
          <w:rFonts w:asciiTheme="majorHAnsi" w:hAnsiTheme="majorHAnsi"/>
          <w:noProof/>
          <w:vertAlign w:val="superscript"/>
          <w:lang w:val="es-ES_tradnl"/>
        </w:rPr>
        <w:t>1</w:t>
      </w:r>
      <w:r w:rsidR="008B1910">
        <w:rPr>
          <w:rFonts w:asciiTheme="majorHAnsi" w:hAnsiTheme="majorHAnsi"/>
          <w:i/>
          <w:lang w:val="es-ES_tradnl"/>
        </w:rPr>
        <w:fldChar w:fldCharType="end"/>
      </w:r>
      <w:r>
        <w:rPr>
          <w:rFonts w:asciiTheme="majorHAnsi" w:hAnsiTheme="majorHAnsi"/>
          <w:lang w:val="es-ES_tradnl"/>
        </w:rPr>
        <w:t xml:space="preserve"> (</w:t>
      </w:r>
      <w:hyperlink r:id="rId6" w:history="1">
        <w:r w:rsidRPr="00AD20DC">
          <w:rPr>
            <w:rStyle w:val="Hipervnculo"/>
            <w:rFonts w:asciiTheme="majorHAnsi" w:hAnsiTheme="majorHAnsi"/>
            <w:lang w:val="es-ES_tradnl"/>
          </w:rPr>
          <w:t>http://regulondb.ccg.unam.mx/</w:t>
        </w:r>
      </w:hyperlink>
      <w:r w:rsidR="0033022A">
        <w:rPr>
          <w:rFonts w:asciiTheme="majorHAnsi" w:hAnsiTheme="majorHAnsi"/>
          <w:lang w:val="es-ES_tradnl"/>
        </w:rPr>
        <w:t>). Entre los datos que s</w:t>
      </w:r>
      <w:r>
        <w:rPr>
          <w:rFonts w:asciiTheme="majorHAnsi" w:hAnsiTheme="majorHAnsi"/>
          <w:lang w:val="es-ES_tradnl"/>
        </w:rPr>
        <w:t>e</w:t>
      </w:r>
      <w:r w:rsidR="0033022A">
        <w:rPr>
          <w:rFonts w:asciiTheme="majorHAnsi" w:hAnsiTheme="majorHAnsi"/>
          <w:lang w:val="es-ES_tradnl"/>
        </w:rPr>
        <w:t xml:space="preserve"> </w:t>
      </w:r>
      <w:r>
        <w:rPr>
          <w:rFonts w:asciiTheme="majorHAnsi" w:hAnsiTheme="majorHAnsi"/>
          <w:lang w:val="es-ES_tradnl"/>
        </w:rPr>
        <w:t xml:space="preserve">incluyen en la base de datos se encuentran </w:t>
      </w:r>
      <w:r w:rsidR="0033022A">
        <w:rPr>
          <w:rFonts w:asciiTheme="majorHAnsi" w:hAnsiTheme="majorHAnsi"/>
          <w:lang w:val="es-ES_tradnl"/>
        </w:rPr>
        <w:t xml:space="preserve">redes que contienen diversos tipos de objetos, como proteínas, genes, metabolitos, </w:t>
      </w:r>
      <w:proofErr w:type="spellStart"/>
      <w:r w:rsidR="0033022A">
        <w:rPr>
          <w:rFonts w:asciiTheme="majorHAnsi" w:hAnsiTheme="majorHAnsi"/>
          <w:lang w:val="es-ES_tradnl"/>
        </w:rPr>
        <w:t>RNAs</w:t>
      </w:r>
      <w:proofErr w:type="spellEnd"/>
      <w:r w:rsidR="0033022A">
        <w:rPr>
          <w:rFonts w:asciiTheme="majorHAnsi" w:hAnsiTheme="majorHAnsi"/>
          <w:lang w:val="es-ES_tradnl"/>
        </w:rPr>
        <w:t>, así como diversas interacciones entre ellos. A la fecha, estas redes, denominadas GENSOR Units</w:t>
      </w:r>
      <w:r w:rsidR="008B1910">
        <w:rPr>
          <w:rFonts w:asciiTheme="majorHAnsi" w:hAnsiTheme="majorHAnsi"/>
          <w:lang w:val="es-ES_tradnl"/>
        </w:rPr>
        <w:fldChar w:fldCharType="begin" w:fldLock="1"/>
      </w:r>
      <w:r w:rsidR="00EF4CEB">
        <w:rPr>
          <w:rFonts w:asciiTheme="majorHAnsi" w:hAnsiTheme="majorHAnsi"/>
          <w:lang w:val="es-ES_tradnl"/>
        </w:rPr>
        <w:instrText>ADDIN CSL_CITATION { "citationItems" : [ { "id" : "ITEM-1", "itemData" : { "DOI" : "10.3389/fmicb.2017.01466", "ISSN" : "1664-302X", "author" : [ { "dropping-particle" : "", "family" : "Ledezma-Tejeida", "given" : "Daniela", "non-dropping-particle" : "", "parse-names" : false, "suffix" : "" }, { "dropping-particle" : "", "family" : "Ishida", "given" : "Cecilia", "non-dropping-particle" : "", "parse-names" : false, "suffix" : "" }, { "dropping-particle" : "", "family" : "Collado-Vides", "given" : "Julio", "non-dropping-particle" : "", "parse-names" : false, "suffix" : "" } ], "container-title" : "Frontiers in Microbiology", "id" : "ITEM-1", "issue" : "August", "issued" : { "date-parts" : [ [ "2017" ] ] }, "page" : "1-15", "title" : "Genome-Wide Mapping of Transcriptional Regulation and Metabolism Describes Information-Processing Units in Escherichia coli", "type" : "article-journal", "volume" : "8" }, "uris" : [ "http://www.mendeley.com/documents/?uuid=1a400342-7cff-48df-b516-aeb03c7deb7a" ] } ], "mendeley" : { "formattedCitation" : "&lt;sup&gt;2&lt;/sup&gt;", "plainTextFormattedCitation" : "2", "previouslyFormattedCitation" : "&lt;sup&gt;2&lt;/sup&gt;" }, "properties" : { "noteIndex" : 0 }, "schema" : "https://github.com/citation-style-language/schema/raw/master/csl-citation.json" }</w:instrText>
      </w:r>
      <w:r w:rsidR="008B1910">
        <w:rPr>
          <w:rFonts w:asciiTheme="majorHAnsi" w:hAnsiTheme="majorHAnsi"/>
          <w:lang w:val="es-ES_tradnl"/>
        </w:rPr>
        <w:fldChar w:fldCharType="separate"/>
      </w:r>
      <w:r w:rsidR="008B1910" w:rsidRPr="008B1910">
        <w:rPr>
          <w:rFonts w:asciiTheme="majorHAnsi" w:hAnsiTheme="majorHAnsi"/>
          <w:noProof/>
          <w:vertAlign w:val="superscript"/>
          <w:lang w:val="es-ES_tradnl"/>
        </w:rPr>
        <w:t>2</w:t>
      </w:r>
      <w:r w:rsidR="008B1910">
        <w:rPr>
          <w:rFonts w:asciiTheme="majorHAnsi" w:hAnsiTheme="majorHAnsi"/>
          <w:lang w:val="es-ES_tradnl"/>
        </w:rPr>
        <w:fldChar w:fldCharType="end"/>
      </w:r>
      <w:r w:rsidR="0033022A">
        <w:rPr>
          <w:rFonts w:asciiTheme="majorHAnsi" w:hAnsiTheme="majorHAnsi"/>
          <w:lang w:val="es-ES_tradnl"/>
        </w:rPr>
        <w:t xml:space="preserve"> (acrónimo de </w:t>
      </w:r>
      <w:proofErr w:type="spellStart"/>
      <w:r w:rsidR="0033022A">
        <w:rPr>
          <w:rFonts w:asciiTheme="majorHAnsi" w:hAnsiTheme="majorHAnsi"/>
          <w:lang w:val="es-ES_tradnl"/>
        </w:rPr>
        <w:t>Genetic</w:t>
      </w:r>
      <w:proofErr w:type="spellEnd"/>
      <w:r w:rsidR="0033022A">
        <w:rPr>
          <w:rFonts w:asciiTheme="majorHAnsi" w:hAnsiTheme="majorHAnsi"/>
          <w:lang w:val="es-ES_tradnl"/>
        </w:rPr>
        <w:t xml:space="preserve"> </w:t>
      </w:r>
      <w:proofErr w:type="spellStart"/>
      <w:r w:rsidR="0033022A">
        <w:rPr>
          <w:rFonts w:asciiTheme="majorHAnsi" w:hAnsiTheme="majorHAnsi"/>
          <w:lang w:val="es-ES_tradnl"/>
        </w:rPr>
        <w:t>Sensory</w:t>
      </w:r>
      <w:proofErr w:type="spellEnd"/>
      <w:r w:rsidR="0033022A">
        <w:rPr>
          <w:rFonts w:asciiTheme="majorHAnsi" w:hAnsiTheme="majorHAnsi"/>
          <w:lang w:val="es-ES_tradnl"/>
        </w:rPr>
        <w:t xml:space="preserve"> Response </w:t>
      </w:r>
      <w:proofErr w:type="spellStart"/>
      <w:r w:rsidR="0033022A">
        <w:rPr>
          <w:rFonts w:asciiTheme="majorHAnsi" w:hAnsiTheme="majorHAnsi"/>
          <w:lang w:val="es-ES_tradnl"/>
        </w:rPr>
        <w:t>Unit</w:t>
      </w:r>
      <w:proofErr w:type="spellEnd"/>
      <w:r w:rsidR="0033022A">
        <w:rPr>
          <w:rFonts w:asciiTheme="majorHAnsi" w:hAnsiTheme="majorHAnsi"/>
          <w:lang w:val="es-ES_tradnl"/>
        </w:rPr>
        <w:t xml:space="preserve">), se construyen automáticamente convirtiendo un set de 5 tablas relacionales a un formato </w:t>
      </w:r>
      <w:proofErr w:type="spellStart"/>
      <w:r w:rsidR="0033022A">
        <w:rPr>
          <w:rFonts w:asciiTheme="majorHAnsi" w:hAnsiTheme="majorHAnsi"/>
          <w:lang w:val="es-ES_tradnl"/>
        </w:rPr>
        <w:t>xml</w:t>
      </w:r>
      <w:proofErr w:type="spellEnd"/>
      <w:r w:rsidR="0033022A">
        <w:rPr>
          <w:rFonts w:asciiTheme="majorHAnsi" w:hAnsiTheme="majorHAnsi"/>
          <w:lang w:val="es-ES_tradnl"/>
        </w:rPr>
        <w:t xml:space="preserve"> que puede alimentarse al software </w:t>
      </w:r>
      <w:proofErr w:type="spellStart"/>
      <w:r w:rsidR="0033022A">
        <w:rPr>
          <w:rFonts w:asciiTheme="majorHAnsi" w:hAnsiTheme="majorHAnsi"/>
          <w:lang w:val="es-ES_tradnl"/>
        </w:rPr>
        <w:t>Cell</w:t>
      </w:r>
      <w:proofErr w:type="spellEnd"/>
      <w:r w:rsidR="0033022A">
        <w:rPr>
          <w:rFonts w:asciiTheme="majorHAnsi" w:hAnsiTheme="majorHAnsi"/>
          <w:lang w:val="es-ES_tradnl"/>
        </w:rPr>
        <w:t xml:space="preserve"> </w:t>
      </w:r>
      <w:proofErr w:type="spellStart"/>
      <w:r w:rsidR="0033022A">
        <w:rPr>
          <w:rFonts w:asciiTheme="majorHAnsi" w:hAnsiTheme="majorHAnsi"/>
          <w:lang w:val="es-ES_tradnl"/>
        </w:rPr>
        <w:t>Desginer</w:t>
      </w:r>
      <w:proofErr w:type="spellEnd"/>
      <w:r w:rsidR="0033022A">
        <w:rPr>
          <w:rFonts w:asciiTheme="majorHAnsi" w:hAnsiTheme="majorHAnsi"/>
          <w:lang w:val="es-ES_tradnl"/>
        </w:rPr>
        <w:t>, el cual está optimizado para representaciones gráficas de componentes celulares</w:t>
      </w:r>
      <w:r w:rsidR="002311A7">
        <w:rPr>
          <w:rFonts w:asciiTheme="majorHAnsi" w:hAnsiTheme="majorHAnsi"/>
          <w:lang w:val="es-ES_tradnl"/>
        </w:rPr>
        <w:t xml:space="preserve"> (Figura 1)</w:t>
      </w:r>
      <w:r w:rsidR="0033022A">
        <w:rPr>
          <w:rFonts w:asciiTheme="majorHAnsi" w:hAnsiTheme="majorHAnsi"/>
          <w:lang w:val="es-ES_tradnl"/>
        </w:rPr>
        <w:t>.</w:t>
      </w:r>
    </w:p>
    <w:p w14:paraId="1962ACAE" w14:textId="77777777" w:rsidR="0033022A" w:rsidRDefault="0033022A" w:rsidP="00EF4CEB">
      <w:pPr>
        <w:jc w:val="both"/>
        <w:rPr>
          <w:rFonts w:asciiTheme="majorHAnsi" w:hAnsiTheme="majorHAnsi"/>
          <w:lang w:val="es-ES_tradnl"/>
        </w:rPr>
      </w:pPr>
    </w:p>
    <w:p w14:paraId="54A050E9" w14:textId="0FC4278F" w:rsidR="0033022A" w:rsidRDefault="0033022A" w:rsidP="00EF4CEB">
      <w:pPr>
        <w:jc w:val="both"/>
        <w:rPr>
          <w:rFonts w:asciiTheme="majorHAnsi" w:hAnsiTheme="majorHAnsi"/>
          <w:lang w:val="es-ES_tradnl"/>
        </w:rPr>
      </w:pPr>
      <w:r>
        <w:rPr>
          <w:rFonts w:asciiTheme="majorHAnsi" w:hAnsiTheme="majorHAnsi"/>
          <w:noProof/>
          <w:lang w:val="es-ES"/>
        </w:rPr>
        <w:drawing>
          <wp:anchor distT="0" distB="0" distL="114300" distR="114300" simplePos="0" relativeHeight="251658240" behindDoc="0" locked="0" layoutInCell="1" allowOverlap="1" wp14:anchorId="57B0AC19" wp14:editId="29B31801">
            <wp:simplePos x="0" y="0"/>
            <wp:positionH relativeFrom="column">
              <wp:posOffset>-3810</wp:posOffset>
            </wp:positionH>
            <wp:positionV relativeFrom="paragraph">
              <wp:posOffset>-3810</wp:posOffset>
            </wp:positionV>
            <wp:extent cx="3775075" cy="3636010"/>
            <wp:effectExtent l="0" t="0" r="9525" b="0"/>
            <wp:wrapSquare wrapText="bothSides"/>
            <wp:docPr id="2" name="Imagen 2" descr="Macintosh HD:Users:Daniela:Desktop:Temporal:LacI_big_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a:Desktop:Temporal:LacI_big_2.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5075" cy="3636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300CD2" w14:textId="77777777" w:rsidR="00D87B01" w:rsidRPr="00D87B01" w:rsidRDefault="00D87B01" w:rsidP="00EF4CEB">
      <w:pPr>
        <w:jc w:val="both"/>
        <w:rPr>
          <w:rFonts w:asciiTheme="majorHAnsi" w:hAnsiTheme="majorHAnsi"/>
          <w:lang w:val="es-ES_tradnl"/>
        </w:rPr>
      </w:pPr>
    </w:p>
    <w:p w14:paraId="165246E2" w14:textId="77777777" w:rsidR="002D7A1E" w:rsidRDefault="002D7A1E" w:rsidP="00EF4CEB">
      <w:pPr>
        <w:jc w:val="both"/>
        <w:rPr>
          <w:rFonts w:asciiTheme="majorHAnsi" w:hAnsiTheme="majorHAnsi"/>
          <w:b/>
          <w:lang w:val="es-ES_tradnl"/>
        </w:rPr>
      </w:pPr>
    </w:p>
    <w:p w14:paraId="17679250" w14:textId="77777777" w:rsidR="0033022A" w:rsidRDefault="0033022A" w:rsidP="00EF4CEB">
      <w:pPr>
        <w:jc w:val="both"/>
        <w:rPr>
          <w:rFonts w:asciiTheme="majorHAnsi" w:hAnsiTheme="majorHAnsi"/>
          <w:b/>
          <w:lang w:val="es-ES_tradnl"/>
        </w:rPr>
      </w:pPr>
    </w:p>
    <w:p w14:paraId="7B64C6D3" w14:textId="77777777" w:rsidR="0033022A" w:rsidRDefault="0033022A" w:rsidP="00EF4CEB">
      <w:pPr>
        <w:jc w:val="both"/>
        <w:rPr>
          <w:rFonts w:asciiTheme="majorHAnsi" w:hAnsiTheme="majorHAnsi"/>
          <w:b/>
          <w:lang w:val="es-ES_tradnl"/>
        </w:rPr>
      </w:pPr>
    </w:p>
    <w:p w14:paraId="642C7C98" w14:textId="77777777" w:rsidR="0033022A" w:rsidRDefault="0033022A" w:rsidP="00EF4CEB">
      <w:pPr>
        <w:jc w:val="both"/>
        <w:rPr>
          <w:rFonts w:asciiTheme="majorHAnsi" w:hAnsiTheme="majorHAnsi"/>
          <w:b/>
          <w:lang w:val="es-ES_tradnl"/>
        </w:rPr>
      </w:pPr>
    </w:p>
    <w:p w14:paraId="19B4BB72" w14:textId="77777777" w:rsidR="0033022A" w:rsidRDefault="0033022A" w:rsidP="00EF4CEB">
      <w:pPr>
        <w:jc w:val="both"/>
        <w:rPr>
          <w:rFonts w:asciiTheme="majorHAnsi" w:hAnsiTheme="majorHAnsi"/>
          <w:b/>
          <w:lang w:val="es-ES_tradnl"/>
        </w:rPr>
      </w:pPr>
    </w:p>
    <w:p w14:paraId="4587D14A" w14:textId="77777777" w:rsidR="0033022A" w:rsidRDefault="0033022A" w:rsidP="00EF4CEB">
      <w:pPr>
        <w:jc w:val="both"/>
        <w:rPr>
          <w:rFonts w:asciiTheme="majorHAnsi" w:hAnsiTheme="majorHAnsi"/>
          <w:b/>
          <w:lang w:val="es-ES_tradnl"/>
        </w:rPr>
      </w:pPr>
    </w:p>
    <w:p w14:paraId="0674EBAA" w14:textId="77777777" w:rsidR="0033022A" w:rsidRDefault="0033022A" w:rsidP="00EF4CEB">
      <w:pPr>
        <w:jc w:val="both"/>
        <w:rPr>
          <w:rFonts w:asciiTheme="majorHAnsi" w:hAnsiTheme="majorHAnsi"/>
          <w:b/>
          <w:lang w:val="es-ES_tradnl"/>
        </w:rPr>
      </w:pPr>
    </w:p>
    <w:p w14:paraId="4E817BD3" w14:textId="77777777" w:rsidR="0033022A" w:rsidRDefault="0033022A" w:rsidP="00EF4CEB">
      <w:pPr>
        <w:jc w:val="both"/>
        <w:rPr>
          <w:rFonts w:asciiTheme="majorHAnsi" w:hAnsiTheme="majorHAnsi"/>
          <w:b/>
          <w:lang w:val="es-ES_tradnl"/>
        </w:rPr>
      </w:pPr>
    </w:p>
    <w:p w14:paraId="587827CA" w14:textId="77777777" w:rsidR="0033022A" w:rsidRDefault="0033022A" w:rsidP="00EF4CEB">
      <w:pPr>
        <w:jc w:val="both"/>
        <w:rPr>
          <w:rFonts w:asciiTheme="majorHAnsi" w:hAnsiTheme="majorHAnsi"/>
          <w:b/>
          <w:lang w:val="es-ES_tradnl"/>
        </w:rPr>
      </w:pPr>
    </w:p>
    <w:p w14:paraId="149B5DEE" w14:textId="77777777" w:rsidR="0033022A" w:rsidRDefault="0033022A" w:rsidP="00EF4CEB">
      <w:pPr>
        <w:jc w:val="both"/>
        <w:rPr>
          <w:rFonts w:asciiTheme="majorHAnsi" w:hAnsiTheme="majorHAnsi"/>
          <w:b/>
          <w:lang w:val="es-ES_tradnl"/>
        </w:rPr>
      </w:pPr>
    </w:p>
    <w:p w14:paraId="276F3C5E" w14:textId="77777777" w:rsidR="0033022A" w:rsidRDefault="0033022A" w:rsidP="00EF4CEB">
      <w:pPr>
        <w:jc w:val="both"/>
        <w:rPr>
          <w:rFonts w:asciiTheme="majorHAnsi" w:hAnsiTheme="majorHAnsi"/>
          <w:b/>
          <w:lang w:val="es-ES_tradnl"/>
        </w:rPr>
      </w:pPr>
    </w:p>
    <w:p w14:paraId="716BB1DF" w14:textId="77777777" w:rsidR="0033022A" w:rsidRDefault="0033022A" w:rsidP="00EF4CEB">
      <w:pPr>
        <w:jc w:val="both"/>
        <w:rPr>
          <w:rFonts w:asciiTheme="majorHAnsi" w:hAnsiTheme="majorHAnsi"/>
          <w:b/>
          <w:lang w:val="es-ES_tradnl"/>
        </w:rPr>
      </w:pPr>
    </w:p>
    <w:p w14:paraId="4B939C0A" w14:textId="77777777" w:rsidR="0033022A" w:rsidRDefault="0033022A" w:rsidP="00EF4CEB">
      <w:pPr>
        <w:jc w:val="both"/>
        <w:rPr>
          <w:rFonts w:asciiTheme="majorHAnsi" w:hAnsiTheme="majorHAnsi"/>
          <w:b/>
          <w:lang w:val="es-ES_tradnl"/>
        </w:rPr>
      </w:pPr>
    </w:p>
    <w:p w14:paraId="2FA8CD82" w14:textId="393A49EE" w:rsidR="0033022A" w:rsidRPr="0033022A" w:rsidRDefault="0033022A" w:rsidP="00EF4CEB">
      <w:pPr>
        <w:jc w:val="both"/>
        <w:rPr>
          <w:rFonts w:asciiTheme="majorHAnsi" w:hAnsiTheme="majorHAnsi"/>
          <w:lang w:val="es-ES_tradnl"/>
        </w:rPr>
      </w:pPr>
      <w:r>
        <w:rPr>
          <w:rFonts w:asciiTheme="majorHAnsi" w:hAnsiTheme="majorHAnsi"/>
          <w:b/>
          <w:lang w:val="es-ES_tradnl"/>
        </w:rPr>
        <w:t xml:space="preserve">Figura 1. </w:t>
      </w:r>
      <w:r>
        <w:rPr>
          <w:rFonts w:asciiTheme="majorHAnsi" w:hAnsiTheme="majorHAnsi"/>
          <w:lang w:val="es-ES_tradnl"/>
        </w:rPr>
        <w:t xml:space="preserve">Ejemplo de GENSOR </w:t>
      </w:r>
      <w:proofErr w:type="spellStart"/>
      <w:r>
        <w:rPr>
          <w:rFonts w:asciiTheme="majorHAnsi" w:hAnsiTheme="majorHAnsi"/>
          <w:lang w:val="es-ES_tradnl"/>
        </w:rPr>
        <w:t>Unit</w:t>
      </w:r>
      <w:proofErr w:type="spellEnd"/>
      <w:r>
        <w:rPr>
          <w:rFonts w:asciiTheme="majorHAnsi" w:hAnsiTheme="majorHAnsi"/>
          <w:lang w:val="es-ES_tradnl"/>
        </w:rPr>
        <w:t xml:space="preserve"> construida en el software </w:t>
      </w:r>
      <w:proofErr w:type="spellStart"/>
      <w:r>
        <w:rPr>
          <w:rFonts w:asciiTheme="majorHAnsi" w:hAnsiTheme="majorHAnsi"/>
          <w:lang w:val="es-ES_tradnl"/>
        </w:rPr>
        <w:t>Cell</w:t>
      </w:r>
      <w:proofErr w:type="spellEnd"/>
      <w:r>
        <w:rPr>
          <w:rFonts w:asciiTheme="majorHAnsi" w:hAnsiTheme="majorHAnsi"/>
          <w:lang w:val="es-ES_tradnl"/>
        </w:rPr>
        <w:t xml:space="preserve"> </w:t>
      </w:r>
      <w:proofErr w:type="spellStart"/>
      <w:r>
        <w:rPr>
          <w:rFonts w:asciiTheme="majorHAnsi" w:hAnsiTheme="majorHAnsi"/>
          <w:lang w:val="es-ES_tradnl"/>
        </w:rPr>
        <w:t>Designer</w:t>
      </w:r>
      <w:proofErr w:type="spellEnd"/>
    </w:p>
    <w:p w14:paraId="79E0D2A2" w14:textId="77777777" w:rsidR="0033022A" w:rsidRDefault="0033022A" w:rsidP="00EF4CEB">
      <w:pPr>
        <w:jc w:val="both"/>
        <w:rPr>
          <w:rFonts w:asciiTheme="majorHAnsi" w:hAnsiTheme="majorHAnsi"/>
          <w:b/>
          <w:lang w:val="es-ES_tradnl"/>
        </w:rPr>
      </w:pPr>
    </w:p>
    <w:p w14:paraId="40FD8BF6" w14:textId="206DDACB" w:rsidR="0033022A" w:rsidRPr="00F52A3C" w:rsidRDefault="0033022A" w:rsidP="00EF4CEB">
      <w:pPr>
        <w:jc w:val="both"/>
        <w:rPr>
          <w:rFonts w:asciiTheme="majorHAnsi" w:hAnsiTheme="majorHAnsi"/>
          <w:b/>
          <w:lang w:val="es-ES_tradnl"/>
        </w:rPr>
      </w:pPr>
      <w:r w:rsidRPr="0033022A">
        <w:rPr>
          <w:rFonts w:asciiTheme="majorHAnsi" w:hAnsiTheme="majorHAnsi"/>
          <w:lang w:val="es-ES_tradnl"/>
        </w:rPr>
        <w:drawing>
          <wp:anchor distT="0" distB="0" distL="114300" distR="114300" simplePos="0" relativeHeight="251659264" behindDoc="0" locked="0" layoutInCell="1" allowOverlap="1" wp14:anchorId="37806A7A" wp14:editId="1AFBD78A">
            <wp:simplePos x="0" y="0"/>
            <wp:positionH relativeFrom="column">
              <wp:posOffset>-114300</wp:posOffset>
            </wp:positionH>
            <wp:positionV relativeFrom="paragraph">
              <wp:posOffset>8890</wp:posOffset>
            </wp:positionV>
            <wp:extent cx="3889375" cy="302260"/>
            <wp:effectExtent l="0" t="0" r="0" b="2540"/>
            <wp:wrapSquare wrapText="bothSides"/>
            <wp:docPr id="3" name="Imagen 3" descr="Macintosh HD:Users:Daniela:Documents:PhD_2:Articulo:Figuras:GU_leg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iela:Documents:PhD_2:Articulo:Figuras:GU_lege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9375" cy="3022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D75F828" w14:textId="77777777" w:rsidR="002D7A1E" w:rsidRPr="00F52A3C" w:rsidRDefault="002D7A1E" w:rsidP="00EF4CEB">
      <w:pPr>
        <w:jc w:val="both"/>
        <w:rPr>
          <w:rFonts w:asciiTheme="majorHAnsi" w:hAnsiTheme="majorHAnsi"/>
          <w:b/>
          <w:lang w:val="es-ES_tradnl"/>
        </w:rPr>
      </w:pPr>
    </w:p>
    <w:p w14:paraId="672513DB" w14:textId="77777777" w:rsidR="002311A7" w:rsidRDefault="002311A7" w:rsidP="00EF4CEB">
      <w:pPr>
        <w:jc w:val="both"/>
        <w:rPr>
          <w:rFonts w:asciiTheme="majorHAnsi" w:hAnsiTheme="majorHAnsi"/>
          <w:lang w:val="es-ES_tradnl"/>
        </w:rPr>
      </w:pPr>
    </w:p>
    <w:p w14:paraId="4B493871" w14:textId="085825F8" w:rsidR="002311A7" w:rsidRDefault="002311A7" w:rsidP="00EF4CEB">
      <w:pPr>
        <w:jc w:val="both"/>
        <w:rPr>
          <w:rFonts w:asciiTheme="majorHAnsi" w:hAnsiTheme="majorHAnsi"/>
          <w:lang w:val="es-ES_tradnl"/>
        </w:rPr>
      </w:pPr>
      <w:r>
        <w:rPr>
          <w:rFonts w:asciiTheme="majorHAnsi" w:hAnsiTheme="majorHAnsi"/>
          <w:lang w:val="es-ES_tradnl"/>
        </w:rPr>
        <w:t xml:space="preserve">Una de las desventajas de utilizar </w:t>
      </w:r>
      <w:proofErr w:type="spellStart"/>
      <w:r>
        <w:rPr>
          <w:rFonts w:asciiTheme="majorHAnsi" w:hAnsiTheme="majorHAnsi"/>
          <w:lang w:val="es-ES_tradnl"/>
        </w:rPr>
        <w:t>CellDesigner</w:t>
      </w:r>
      <w:proofErr w:type="spellEnd"/>
      <w:r>
        <w:rPr>
          <w:rFonts w:asciiTheme="majorHAnsi" w:hAnsiTheme="majorHAnsi"/>
          <w:lang w:val="es-ES_tradnl"/>
        </w:rPr>
        <w:t xml:space="preserve"> es que las imág</w:t>
      </w:r>
      <w:r w:rsidR="008B1910">
        <w:rPr>
          <w:rFonts w:asciiTheme="majorHAnsi" w:hAnsiTheme="majorHAnsi"/>
          <w:lang w:val="es-ES_tradnl"/>
        </w:rPr>
        <w:t xml:space="preserve">enes deben ser ordenadas a mano, lo que representa un cuello de botella para la actualización de la base de datos. Además, las GENSOR </w:t>
      </w:r>
      <w:proofErr w:type="spellStart"/>
      <w:r w:rsidR="008B1910">
        <w:rPr>
          <w:rFonts w:asciiTheme="majorHAnsi" w:hAnsiTheme="majorHAnsi"/>
          <w:lang w:val="es-ES_tradnl"/>
        </w:rPr>
        <w:t>Units</w:t>
      </w:r>
      <w:proofErr w:type="spellEnd"/>
      <w:r>
        <w:rPr>
          <w:rFonts w:asciiTheme="majorHAnsi" w:hAnsiTheme="majorHAnsi"/>
          <w:lang w:val="es-ES_tradnl"/>
        </w:rPr>
        <w:t xml:space="preserve"> se exportan en formato PNG, por lo que los usuarios de RegulonDB no pueden interactuar con los objetos.</w:t>
      </w:r>
    </w:p>
    <w:p w14:paraId="51C0B556" w14:textId="77777777" w:rsidR="002311A7" w:rsidRDefault="002311A7" w:rsidP="00EF4CEB">
      <w:pPr>
        <w:jc w:val="both"/>
        <w:rPr>
          <w:rFonts w:asciiTheme="majorHAnsi" w:hAnsiTheme="majorHAnsi"/>
          <w:lang w:val="es-ES_tradnl"/>
        </w:rPr>
      </w:pPr>
    </w:p>
    <w:p w14:paraId="4A2C91D9" w14:textId="3AA00B6C" w:rsidR="002311A7" w:rsidRPr="002311A7" w:rsidRDefault="002311A7" w:rsidP="00EF4CEB">
      <w:pPr>
        <w:jc w:val="both"/>
        <w:rPr>
          <w:rFonts w:asciiTheme="majorHAnsi" w:hAnsiTheme="majorHAnsi"/>
          <w:lang w:val="es-ES_tradnl"/>
        </w:rPr>
      </w:pPr>
      <w:r>
        <w:rPr>
          <w:rFonts w:asciiTheme="majorHAnsi" w:hAnsiTheme="majorHAnsi"/>
          <w:lang w:val="es-ES_tradnl"/>
        </w:rPr>
        <w:t>Cytoscape</w:t>
      </w:r>
      <w:r w:rsidR="008B1910">
        <w:rPr>
          <w:rFonts w:asciiTheme="majorHAnsi" w:hAnsiTheme="majorHAnsi"/>
          <w:lang w:val="es-ES_tradnl"/>
        </w:rPr>
        <w:fldChar w:fldCharType="begin" w:fldLock="1"/>
      </w:r>
      <w:r w:rsidR="00EF4CEB">
        <w:rPr>
          <w:rFonts w:asciiTheme="majorHAnsi" w:hAnsiTheme="majorHAnsi"/>
          <w:lang w:val="es-ES_tradnl"/>
        </w:rPr>
        <w:instrText>ADDIN CSL_CITATION { "citationItems" : [ { "id" : "ITEM-1", "itemData" : { "DOI" : "10.1101/gr.1239303",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"Benno", "non-dropping-particle" : "", "parse-names" : false, "suffix" : "" }, { "dropping-particle" : "", "family" : "Ideker", "given" : "Trey", "non-dropping-particle" : "", "parse-names" : false, "suffix" : "" } ], "container-title" : "Genome research", "id" : "ITEM-1", "issue" : "11", "issued" : { "date-parts" : [ [ "2003", "11" ] ] }, "page" : "2498-504", "title" : "Cytoscape: a software environment for integrated models of biomolecular interaction networks.", "type" : "article-journal", "volume" : "13" }, "uris" : [ "http://www.mendeley.com/documents/?uuid=822355ac-02b7-33d9-ac1a-6fe571960c8a" ] } ], "mendeley" : { "formattedCitation" : "&lt;sup&gt;3&lt;/sup&gt;", "plainTextFormattedCitation" : "3", "previouslyFormattedCitation" : "&lt;sup&gt;3&lt;/sup&gt;" }, "properties" : { "noteIndex" : 0 }, "schema" : "https://github.com/citation-style-language/schema/raw/master/csl-citation.json" }</w:instrText>
      </w:r>
      <w:r w:rsidR="008B1910">
        <w:rPr>
          <w:rFonts w:asciiTheme="majorHAnsi" w:hAnsiTheme="majorHAnsi"/>
          <w:lang w:val="es-ES_tradnl"/>
        </w:rPr>
        <w:fldChar w:fldCharType="separate"/>
      </w:r>
      <w:r w:rsidR="008B1910" w:rsidRPr="008B1910">
        <w:rPr>
          <w:rFonts w:asciiTheme="majorHAnsi" w:hAnsiTheme="majorHAnsi"/>
          <w:noProof/>
          <w:vertAlign w:val="superscript"/>
          <w:lang w:val="es-ES_tradnl"/>
        </w:rPr>
        <w:t>3</w:t>
      </w:r>
      <w:r w:rsidR="008B1910">
        <w:rPr>
          <w:rFonts w:asciiTheme="majorHAnsi" w:hAnsiTheme="majorHAnsi"/>
          <w:lang w:val="es-ES_tradnl"/>
        </w:rPr>
        <w:fldChar w:fldCharType="end"/>
      </w:r>
      <w:r>
        <w:rPr>
          <w:rFonts w:asciiTheme="majorHAnsi" w:hAnsiTheme="majorHAnsi"/>
          <w:lang w:val="es-ES_tradnl"/>
        </w:rPr>
        <w:t xml:space="preserve"> es el software más utilizado para representar redes biológicas. Actualmente cuenta con un gran número de aplicaciones que permiten agregar funciones al software bá</w:t>
      </w:r>
      <w:r w:rsidR="00174F7E">
        <w:rPr>
          <w:rFonts w:asciiTheme="majorHAnsi" w:hAnsiTheme="majorHAnsi"/>
          <w:lang w:val="es-ES_tradnl"/>
        </w:rPr>
        <w:t xml:space="preserve">sico. El paquete </w:t>
      </w:r>
      <w:r w:rsidR="008B1910">
        <w:rPr>
          <w:rFonts w:asciiTheme="majorHAnsi" w:hAnsiTheme="majorHAnsi"/>
          <w:lang w:val="es-ES_tradnl"/>
        </w:rPr>
        <w:t xml:space="preserve">RCy3 de R interactuar directamente con </w:t>
      </w:r>
      <w:proofErr w:type="spellStart"/>
      <w:r w:rsidR="008B1910">
        <w:rPr>
          <w:rFonts w:asciiTheme="majorHAnsi" w:hAnsiTheme="majorHAnsi"/>
          <w:lang w:val="es-ES_tradnl"/>
        </w:rPr>
        <w:t>Cytoscape</w:t>
      </w:r>
      <w:proofErr w:type="spellEnd"/>
      <w:r w:rsidR="008B1910">
        <w:rPr>
          <w:rFonts w:asciiTheme="majorHAnsi" w:hAnsiTheme="majorHAnsi"/>
          <w:lang w:val="es-ES_tradnl"/>
        </w:rPr>
        <w:t xml:space="preserve">, abriendo la posibilidad de crear GENSOR </w:t>
      </w:r>
      <w:proofErr w:type="spellStart"/>
      <w:r w:rsidR="008B1910">
        <w:rPr>
          <w:rFonts w:asciiTheme="majorHAnsi" w:hAnsiTheme="majorHAnsi"/>
          <w:lang w:val="es-ES_tradnl"/>
        </w:rPr>
        <w:t>Units</w:t>
      </w:r>
      <w:proofErr w:type="spellEnd"/>
      <w:r w:rsidR="008B1910">
        <w:rPr>
          <w:rFonts w:asciiTheme="majorHAnsi" w:hAnsiTheme="majorHAnsi"/>
          <w:lang w:val="es-ES_tradnl"/>
        </w:rPr>
        <w:t xml:space="preserve"> en </w:t>
      </w:r>
      <w:proofErr w:type="spellStart"/>
      <w:r w:rsidR="008B1910">
        <w:rPr>
          <w:rFonts w:asciiTheme="majorHAnsi" w:hAnsiTheme="majorHAnsi"/>
          <w:lang w:val="es-ES_tradnl"/>
        </w:rPr>
        <w:t>Cytoscape</w:t>
      </w:r>
      <w:proofErr w:type="spellEnd"/>
      <w:r w:rsidR="008B1910">
        <w:rPr>
          <w:rFonts w:asciiTheme="majorHAnsi" w:hAnsiTheme="majorHAnsi"/>
          <w:lang w:val="es-ES_tradnl"/>
        </w:rPr>
        <w:t xml:space="preserve"> de forma totalmente automática con sólo un script de R. La ventaja añadida de esta automatización es que permitirá exportar las redes como una página web donde los usuarios puedan mover directamente los elementos, o aplicar un ordenamiento estándar. </w:t>
      </w:r>
    </w:p>
    <w:p w14:paraId="14779985" w14:textId="77777777" w:rsidR="002311A7" w:rsidRDefault="002311A7" w:rsidP="00EF4CEB">
      <w:pPr>
        <w:jc w:val="both"/>
        <w:rPr>
          <w:rFonts w:asciiTheme="majorHAnsi" w:hAnsiTheme="majorHAnsi"/>
          <w:b/>
          <w:lang w:val="es-ES_tradnl"/>
        </w:rPr>
      </w:pPr>
    </w:p>
    <w:p w14:paraId="61BE0F3D" w14:textId="77777777" w:rsidR="002D7A1E" w:rsidRPr="00F52A3C" w:rsidRDefault="002D7A1E" w:rsidP="00EF4CEB">
      <w:pPr>
        <w:jc w:val="both"/>
        <w:rPr>
          <w:rFonts w:asciiTheme="majorHAnsi" w:hAnsiTheme="majorHAnsi"/>
          <w:b/>
          <w:lang w:val="es-ES_tradnl"/>
        </w:rPr>
      </w:pPr>
      <w:r w:rsidRPr="00F52A3C">
        <w:rPr>
          <w:rFonts w:asciiTheme="majorHAnsi" w:hAnsiTheme="majorHAnsi"/>
          <w:b/>
          <w:lang w:val="es-ES_tradnl"/>
        </w:rPr>
        <w:t>Objetivo del proyecto:</w:t>
      </w:r>
    </w:p>
    <w:p w14:paraId="535B88FA" w14:textId="128E7867" w:rsidR="002D7A1E" w:rsidRPr="008B1910" w:rsidRDefault="008B1910" w:rsidP="00EF4CEB">
      <w:pPr>
        <w:jc w:val="both"/>
        <w:rPr>
          <w:rFonts w:asciiTheme="majorHAnsi" w:hAnsiTheme="majorHAnsi"/>
          <w:lang w:val="es-ES_tradnl"/>
        </w:rPr>
      </w:pPr>
      <w:r>
        <w:rPr>
          <w:rFonts w:asciiTheme="majorHAnsi" w:hAnsiTheme="majorHAnsi"/>
          <w:lang w:val="es-ES_tradnl"/>
        </w:rPr>
        <w:t>Generar un paquete de R que, a p</w:t>
      </w:r>
      <w:bookmarkStart w:id="0" w:name="_GoBack"/>
      <w:bookmarkEnd w:id="0"/>
      <w:r>
        <w:rPr>
          <w:rFonts w:asciiTheme="majorHAnsi" w:hAnsiTheme="majorHAnsi"/>
          <w:lang w:val="es-ES_tradnl"/>
        </w:rPr>
        <w:t xml:space="preserve">artir de tablas relacionales en formato texto, produzca una red en formato </w:t>
      </w:r>
      <w:proofErr w:type="spellStart"/>
      <w:r>
        <w:rPr>
          <w:rFonts w:asciiTheme="majorHAnsi" w:hAnsiTheme="majorHAnsi"/>
          <w:lang w:val="es-ES_tradnl"/>
        </w:rPr>
        <w:t>Cytoscape</w:t>
      </w:r>
      <w:proofErr w:type="spellEnd"/>
      <w:r>
        <w:rPr>
          <w:rFonts w:asciiTheme="majorHAnsi" w:hAnsiTheme="majorHAnsi"/>
          <w:lang w:val="es-ES_tradnl"/>
        </w:rPr>
        <w:t xml:space="preserve"> utilizando el paquete RCy3.</w:t>
      </w:r>
    </w:p>
    <w:p w14:paraId="79A2B549" w14:textId="77777777" w:rsidR="002D7A1E" w:rsidRPr="00F52A3C" w:rsidRDefault="002D7A1E" w:rsidP="00EF4CEB">
      <w:pPr>
        <w:jc w:val="both"/>
        <w:rPr>
          <w:rFonts w:asciiTheme="majorHAnsi" w:hAnsiTheme="majorHAnsi"/>
          <w:b/>
          <w:lang w:val="es-ES_tradnl"/>
        </w:rPr>
      </w:pPr>
    </w:p>
    <w:p w14:paraId="7211A2E2" w14:textId="3E6E16CF" w:rsidR="002D7A1E" w:rsidRDefault="002D7A1E" w:rsidP="00EF4CEB">
      <w:pPr>
        <w:jc w:val="both"/>
        <w:rPr>
          <w:rFonts w:asciiTheme="majorHAnsi" w:hAnsiTheme="majorHAnsi"/>
          <w:b/>
          <w:lang w:val="es-ES_tradnl"/>
        </w:rPr>
      </w:pPr>
      <w:r w:rsidRPr="00F52A3C">
        <w:rPr>
          <w:rFonts w:asciiTheme="majorHAnsi" w:hAnsiTheme="majorHAnsi"/>
          <w:b/>
          <w:lang w:val="es-ES_tradnl"/>
        </w:rPr>
        <w:t>Datos con los que se cuenta:</w:t>
      </w:r>
    </w:p>
    <w:p w14:paraId="7EADCC20" w14:textId="46E3D8C9" w:rsidR="008B1910" w:rsidRPr="008B1910" w:rsidRDefault="008B1910" w:rsidP="00EF4CEB">
      <w:pPr>
        <w:jc w:val="both"/>
        <w:rPr>
          <w:rFonts w:asciiTheme="majorHAnsi" w:hAnsiTheme="majorHAnsi"/>
          <w:lang w:val="es-ES_tradnl"/>
        </w:rPr>
      </w:pPr>
      <w:r w:rsidRPr="008B1910">
        <w:rPr>
          <w:rFonts w:asciiTheme="majorHAnsi" w:hAnsiTheme="majorHAnsi"/>
          <w:lang w:val="es-ES_tradnl"/>
        </w:rPr>
        <w:t>189 sets de</w:t>
      </w:r>
      <w:r>
        <w:rPr>
          <w:rFonts w:asciiTheme="majorHAnsi" w:hAnsiTheme="majorHAnsi"/>
          <w:lang w:val="es-ES_tradnl"/>
        </w:rPr>
        <w:t xml:space="preserve"> archivos en formato texto que deben ser convertidos en 189 redes en formato </w:t>
      </w:r>
      <w:proofErr w:type="spellStart"/>
      <w:r>
        <w:rPr>
          <w:rFonts w:asciiTheme="majorHAnsi" w:hAnsiTheme="majorHAnsi"/>
          <w:lang w:val="es-ES_tradnl"/>
        </w:rPr>
        <w:t>Cytoscape</w:t>
      </w:r>
      <w:proofErr w:type="spellEnd"/>
      <w:r>
        <w:rPr>
          <w:rFonts w:asciiTheme="majorHAnsi" w:hAnsiTheme="majorHAnsi"/>
          <w:lang w:val="es-ES_tradnl"/>
        </w:rPr>
        <w:t>.</w:t>
      </w:r>
    </w:p>
    <w:p w14:paraId="3B07A315" w14:textId="77777777" w:rsidR="002D7A1E" w:rsidRPr="00F52A3C" w:rsidRDefault="002D7A1E" w:rsidP="00EF4CEB">
      <w:pPr>
        <w:jc w:val="both"/>
        <w:rPr>
          <w:rFonts w:asciiTheme="majorHAnsi" w:hAnsiTheme="majorHAnsi"/>
          <w:lang w:val="es-ES_tradnl"/>
        </w:rPr>
      </w:pPr>
    </w:p>
    <w:p w14:paraId="2F0837F8" w14:textId="77777777" w:rsidR="002D7A1E" w:rsidRPr="00F52A3C" w:rsidRDefault="002D7A1E" w:rsidP="00EF4CEB">
      <w:pPr>
        <w:jc w:val="both"/>
        <w:rPr>
          <w:rFonts w:asciiTheme="majorHAnsi" w:hAnsiTheme="majorHAnsi"/>
          <w:b/>
          <w:lang w:val="es-ES_tradnl"/>
        </w:rPr>
      </w:pPr>
      <w:r w:rsidRPr="00F52A3C">
        <w:rPr>
          <w:rFonts w:asciiTheme="majorHAnsi" w:hAnsiTheme="majorHAnsi"/>
          <w:b/>
          <w:lang w:val="es-ES_tradnl"/>
        </w:rPr>
        <w:t>Resultado ideal que debe generar el software:</w:t>
      </w:r>
    </w:p>
    <w:p w14:paraId="6957E8AD" w14:textId="51B44224" w:rsidR="002D7A1E" w:rsidRPr="00BA1C2A" w:rsidRDefault="008B1910" w:rsidP="00EF4CEB">
      <w:pPr>
        <w:jc w:val="both"/>
        <w:rPr>
          <w:rFonts w:asciiTheme="majorHAnsi" w:hAnsiTheme="majorHAnsi"/>
          <w:lang w:val="es-ES_tradnl"/>
        </w:rPr>
      </w:pPr>
      <w:r>
        <w:rPr>
          <w:rFonts w:asciiTheme="majorHAnsi" w:hAnsiTheme="majorHAnsi"/>
          <w:lang w:val="es-ES_tradnl"/>
        </w:rPr>
        <w:t xml:space="preserve">Redes en formato </w:t>
      </w:r>
      <w:proofErr w:type="spellStart"/>
      <w:r>
        <w:rPr>
          <w:rFonts w:asciiTheme="majorHAnsi" w:hAnsiTheme="majorHAnsi"/>
          <w:lang w:val="es-ES_tradnl"/>
        </w:rPr>
        <w:t>Cytoscape</w:t>
      </w:r>
      <w:proofErr w:type="spellEnd"/>
      <w:r>
        <w:rPr>
          <w:rFonts w:asciiTheme="majorHAnsi" w:hAnsiTheme="majorHAnsi"/>
          <w:lang w:val="es-ES_tradnl"/>
        </w:rPr>
        <w:t xml:space="preserve"> listas para ser exportadas a página web. </w:t>
      </w:r>
    </w:p>
    <w:p w14:paraId="6C862EE7" w14:textId="77777777" w:rsidR="002D7A1E" w:rsidRPr="00F52A3C" w:rsidRDefault="002D7A1E" w:rsidP="00EF4CEB">
      <w:pPr>
        <w:jc w:val="both"/>
        <w:rPr>
          <w:rFonts w:asciiTheme="majorHAnsi" w:hAnsiTheme="majorHAnsi"/>
          <w:b/>
          <w:lang w:val="es-ES_tradnl"/>
        </w:rPr>
      </w:pPr>
    </w:p>
    <w:p w14:paraId="0B5A4882" w14:textId="21C5FBB3" w:rsidR="008B1910" w:rsidRDefault="00F52A3C" w:rsidP="00EF4CEB">
      <w:pPr>
        <w:jc w:val="both"/>
        <w:rPr>
          <w:rFonts w:asciiTheme="majorHAnsi" w:hAnsiTheme="majorHAnsi"/>
          <w:b/>
          <w:lang w:val="es-ES_tradnl"/>
        </w:rPr>
      </w:pPr>
      <w:r w:rsidRPr="00F52A3C">
        <w:rPr>
          <w:rFonts w:asciiTheme="majorHAnsi" w:hAnsiTheme="majorHAnsi"/>
          <w:b/>
          <w:lang w:val="es-ES_tradnl"/>
        </w:rPr>
        <w:t>Referencias Útiles:</w:t>
      </w:r>
    </w:p>
    <w:p w14:paraId="317BFE1B" w14:textId="77777777" w:rsidR="00EF4CEB" w:rsidRDefault="00EF4CEB" w:rsidP="00EF4CEB">
      <w:pPr>
        <w:jc w:val="both"/>
        <w:rPr>
          <w:rFonts w:asciiTheme="majorHAnsi" w:hAnsiTheme="majorHAnsi"/>
          <w:lang w:val="es-ES_tradnl"/>
        </w:rPr>
      </w:pPr>
    </w:p>
    <w:p w14:paraId="3D1F3DF0" w14:textId="31129DD0" w:rsidR="00EF4CEB" w:rsidRPr="00EF4CEB" w:rsidRDefault="00EF4CEB" w:rsidP="00EF4CEB">
      <w:pPr>
        <w:widowControl w:val="0"/>
        <w:autoSpaceDE w:val="0"/>
        <w:autoSpaceDN w:val="0"/>
        <w:adjustRightInd w:val="0"/>
        <w:ind w:left="640" w:hanging="640"/>
        <w:jc w:val="both"/>
        <w:rPr>
          <w:rFonts w:ascii="Calibri" w:hAnsi="Calibri"/>
          <w:noProof/>
          <w:lang w:val="es-ES"/>
        </w:rPr>
      </w:pPr>
      <w:r>
        <w:rPr>
          <w:rFonts w:asciiTheme="majorHAnsi" w:hAnsiTheme="majorHAnsi"/>
          <w:lang w:val="es-ES_tradnl"/>
        </w:rPr>
        <w:fldChar w:fldCharType="begin" w:fldLock="1"/>
      </w:r>
      <w:r>
        <w:rPr>
          <w:rFonts w:asciiTheme="majorHAnsi" w:hAnsiTheme="majorHAnsi"/>
          <w:lang w:val="es-ES_tradnl"/>
        </w:rPr>
        <w:instrText xml:space="preserve">ADDIN Mendeley Bibliography CSL_BIBLIOGRAPHY </w:instrText>
      </w:r>
      <w:r>
        <w:rPr>
          <w:rFonts w:asciiTheme="majorHAnsi" w:hAnsiTheme="majorHAnsi"/>
          <w:lang w:val="es-ES_tradnl"/>
        </w:rPr>
        <w:fldChar w:fldCharType="separate"/>
      </w:r>
      <w:r w:rsidRPr="00EF4CEB">
        <w:rPr>
          <w:rFonts w:ascii="Calibri" w:hAnsi="Calibri"/>
          <w:noProof/>
          <w:lang w:val="es-ES"/>
        </w:rPr>
        <w:t>1.</w:t>
      </w:r>
      <w:r w:rsidRPr="00EF4CEB">
        <w:rPr>
          <w:rFonts w:ascii="Calibri" w:hAnsi="Calibri"/>
          <w:noProof/>
          <w:lang w:val="es-ES"/>
        </w:rPr>
        <w:tab/>
        <w:t xml:space="preserve">Gama-Castro, S. </w:t>
      </w:r>
      <w:r w:rsidRPr="00EF4CEB">
        <w:rPr>
          <w:rFonts w:ascii="Calibri" w:hAnsi="Calibri"/>
          <w:i/>
          <w:iCs/>
          <w:noProof/>
          <w:lang w:val="es-ES"/>
        </w:rPr>
        <w:t>et al.</w:t>
      </w:r>
      <w:r w:rsidRPr="00EF4CEB">
        <w:rPr>
          <w:rFonts w:ascii="Calibri" w:hAnsi="Calibri"/>
          <w:noProof/>
          <w:lang w:val="es-ES"/>
        </w:rPr>
        <w:t xml:space="preserve"> RegulonDB version 9.0: high-level integration of gene regulation, coexpression, motif clustering and beyond. </w:t>
      </w:r>
      <w:r w:rsidRPr="00EF4CEB">
        <w:rPr>
          <w:rFonts w:ascii="Calibri" w:hAnsi="Calibri"/>
          <w:i/>
          <w:iCs/>
          <w:noProof/>
          <w:lang w:val="es-ES"/>
        </w:rPr>
        <w:t>Nucleic Acids Res.</w:t>
      </w:r>
      <w:r w:rsidRPr="00EF4CEB">
        <w:rPr>
          <w:rFonts w:ascii="Calibri" w:hAnsi="Calibri"/>
          <w:noProof/>
          <w:lang w:val="es-ES"/>
        </w:rPr>
        <w:t xml:space="preserve"> </w:t>
      </w:r>
      <w:r w:rsidRPr="00EF4CEB">
        <w:rPr>
          <w:rFonts w:ascii="Calibri" w:hAnsi="Calibri"/>
          <w:b/>
          <w:bCs/>
          <w:noProof/>
          <w:lang w:val="es-ES"/>
        </w:rPr>
        <w:t>44,</w:t>
      </w:r>
      <w:r w:rsidRPr="00EF4CEB">
        <w:rPr>
          <w:rFonts w:ascii="Calibri" w:hAnsi="Calibri"/>
          <w:noProof/>
          <w:lang w:val="es-ES"/>
        </w:rPr>
        <w:t xml:space="preserve"> D133-43 (2016).</w:t>
      </w:r>
    </w:p>
    <w:p w14:paraId="7297F12F" w14:textId="77777777" w:rsidR="00EF4CEB" w:rsidRPr="00EF4CEB" w:rsidRDefault="00EF4CEB" w:rsidP="00EF4CEB">
      <w:pPr>
        <w:widowControl w:val="0"/>
        <w:autoSpaceDE w:val="0"/>
        <w:autoSpaceDN w:val="0"/>
        <w:adjustRightInd w:val="0"/>
        <w:ind w:left="640" w:hanging="640"/>
        <w:jc w:val="both"/>
        <w:rPr>
          <w:rFonts w:ascii="Calibri" w:hAnsi="Calibri"/>
          <w:noProof/>
          <w:lang w:val="es-ES"/>
        </w:rPr>
      </w:pPr>
      <w:r w:rsidRPr="00EF4CEB">
        <w:rPr>
          <w:rFonts w:ascii="Calibri" w:hAnsi="Calibri"/>
          <w:noProof/>
          <w:lang w:val="es-ES"/>
        </w:rPr>
        <w:t>2.</w:t>
      </w:r>
      <w:r w:rsidRPr="00EF4CEB">
        <w:rPr>
          <w:rFonts w:ascii="Calibri" w:hAnsi="Calibri"/>
          <w:noProof/>
          <w:lang w:val="es-ES"/>
        </w:rPr>
        <w:tab/>
        <w:t xml:space="preserve">Ledezma-Tejeida, D., Ishida, C. &amp; Collado-Vides, J. Genome-Wide Mapping of Transcriptional Regulation and Metabolism Describes Information-Processing Units in Escherichia coli. </w:t>
      </w:r>
      <w:r w:rsidRPr="00EF4CEB">
        <w:rPr>
          <w:rFonts w:ascii="Calibri" w:hAnsi="Calibri"/>
          <w:i/>
          <w:iCs/>
          <w:noProof/>
          <w:lang w:val="es-ES"/>
        </w:rPr>
        <w:t>Front. Microbiol.</w:t>
      </w:r>
      <w:r w:rsidRPr="00EF4CEB">
        <w:rPr>
          <w:rFonts w:ascii="Calibri" w:hAnsi="Calibri"/>
          <w:noProof/>
          <w:lang w:val="es-ES"/>
        </w:rPr>
        <w:t xml:space="preserve"> </w:t>
      </w:r>
      <w:r w:rsidRPr="00EF4CEB">
        <w:rPr>
          <w:rFonts w:ascii="Calibri" w:hAnsi="Calibri"/>
          <w:b/>
          <w:bCs/>
          <w:noProof/>
          <w:lang w:val="es-ES"/>
        </w:rPr>
        <w:t>8,</w:t>
      </w:r>
      <w:r w:rsidRPr="00EF4CEB">
        <w:rPr>
          <w:rFonts w:ascii="Calibri" w:hAnsi="Calibri"/>
          <w:noProof/>
          <w:lang w:val="es-ES"/>
        </w:rPr>
        <w:t xml:space="preserve"> 1–15 (2017).</w:t>
      </w:r>
    </w:p>
    <w:p w14:paraId="4A0C7F7A" w14:textId="77777777" w:rsidR="00EF4CEB" w:rsidRPr="00EF4CEB" w:rsidRDefault="00EF4CEB" w:rsidP="00EF4CEB">
      <w:pPr>
        <w:widowControl w:val="0"/>
        <w:autoSpaceDE w:val="0"/>
        <w:autoSpaceDN w:val="0"/>
        <w:adjustRightInd w:val="0"/>
        <w:ind w:left="640" w:hanging="640"/>
        <w:jc w:val="both"/>
        <w:rPr>
          <w:rFonts w:ascii="Calibri" w:hAnsi="Calibri"/>
          <w:noProof/>
        </w:rPr>
      </w:pPr>
      <w:r w:rsidRPr="00EF4CEB">
        <w:rPr>
          <w:rFonts w:ascii="Calibri" w:hAnsi="Calibri"/>
          <w:noProof/>
          <w:lang w:val="es-ES"/>
        </w:rPr>
        <w:t>3.</w:t>
      </w:r>
      <w:r w:rsidRPr="00EF4CEB">
        <w:rPr>
          <w:rFonts w:ascii="Calibri" w:hAnsi="Calibri"/>
          <w:noProof/>
          <w:lang w:val="es-ES"/>
        </w:rPr>
        <w:tab/>
        <w:t xml:space="preserve">Shannon, P. </w:t>
      </w:r>
      <w:r w:rsidRPr="00EF4CEB">
        <w:rPr>
          <w:rFonts w:ascii="Calibri" w:hAnsi="Calibri"/>
          <w:i/>
          <w:iCs/>
          <w:noProof/>
          <w:lang w:val="es-ES"/>
        </w:rPr>
        <w:t>et al.</w:t>
      </w:r>
      <w:r w:rsidRPr="00EF4CEB">
        <w:rPr>
          <w:rFonts w:ascii="Calibri" w:hAnsi="Calibri"/>
          <w:noProof/>
          <w:lang w:val="es-ES"/>
        </w:rPr>
        <w:t xml:space="preserve"> Cytoscape: a software environment for integrated models of biomolecular interaction networks. </w:t>
      </w:r>
      <w:r w:rsidRPr="00EF4CEB">
        <w:rPr>
          <w:rFonts w:ascii="Calibri" w:hAnsi="Calibri"/>
          <w:i/>
          <w:iCs/>
          <w:noProof/>
          <w:lang w:val="es-ES"/>
        </w:rPr>
        <w:t>Genome Res.</w:t>
      </w:r>
      <w:r w:rsidRPr="00EF4CEB">
        <w:rPr>
          <w:rFonts w:ascii="Calibri" w:hAnsi="Calibri"/>
          <w:noProof/>
          <w:lang w:val="es-ES"/>
        </w:rPr>
        <w:t xml:space="preserve"> </w:t>
      </w:r>
      <w:r w:rsidRPr="00EF4CEB">
        <w:rPr>
          <w:rFonts w:ascii="Calibri" w:hAnsi="Calibri"/>
          <w:b/>
          <w:bCs/>
          <w:noProof/>
          <w:lang w:val="es-ES"/>
        </w:rPr>
        <w:t>13,</w:t>
      </w:r>
      <w:r w:rsidRPr="00EF4CEB">
        <w:rPr>
          <w:rFonts w:ascii="Calibri" w:hAnsi="Calibri"/>
          <w:noProof/>
          <w:lang w:val="es-ES"/>
        </w:rPr>
        <w:t xml:space="preserve"> 2498–504 (2003).</w:t>
      </w:r>
    </w:p>
    <w:p w14:paraId="11B57015" w14:textId="28E306CD" w:rsidR="00EF4CEB" w:rsidRDefault="00EF4CEB" w:rsidP="00EF4CEB">
      <w:pPr>
        <w:jc w:val="both"/>
        <w:rPr>
          <w:rFonts w:asciiTheme="majorHAnsi" w:hAnsiTheme="majorHAnsi"/>
          <w:lang w:val="es-ES_tradnl"/>
        </w:rPr>
      </w:pPr>
      <w:r>
        <w:rPr>
          <w:rFonts w:asciiTheme="majorHAnsi" w:hAnsiTheme="majorHAnsi"/>
          <w:lang w:val="es-ES_tradnl"/>
        </w:rPr>
        <w:fldChar w:fldCharType="end"/>
      </w:r>
    </w:p>
    <w:p w14:paraId="4531FEAF" w14:textId="77777777" w:rsidR="00EF4CEB" w:rsidRDefault="00EF4CEB" w:rsidP="00EF4CEB">
      <w:pPr>
        <w:jc w:val="both"/>
        <w:rPr>
          <w:rFonts w:asciiTheme="majorHAnsi" w:hAnsiTheme="majorHAnsi"/>
          <w:b/>
          <w:lang w:val="es-ES_tradnl"/>
        </w:rPr>
      </w:pPr>
    </w:p>
    <w:p w14:paraId="2A0451FF" w14:textId="77777777" w:rsidR="00EF4CEB" w:rsidRDefault="00EF4CEB" w:rsidP="00EF4CEB">
      <w:pPr>
        <w:jc w:val="both"/>
        <w:rPr>
          <w:rFonts w:asciiTheme="majorHAnsi" w:hAnsiTheme="majorHAnsi"/>
          <w:lang w:val="es-ES_tradnl"/>
        </w:rPr>
      </w:pPr>
      <w:r>
        <w:rPr>
          <w:rFonts w:asciiTheme="majorHAnsi" w:hAnsiTheme="majorHAnsi"/>
          <w:lang w:val="es-ES_tradnl"/>
        </w:rPr>
        <w:t>Documentación RCy3</w:t>
      </w:r>
      <w:r w:rsidRPr="008B1910">
        <w:rPr>
          <w:rFonts w:asciiTheme="majorHAnsi" w:hAnsiTheme="majorHAnsi"/>
          <w:lang w:val="es-ES_tradnl"/>
        </w:rPr>
        <w:t xml:space="preserve">: </w:t>
      </w:r>
      <w:hyperlink r:id="rId9" w:history="1">
        <w:r w:rsidRPr="00AD20DC">
          <w:rPr>
            <w:rStyle w:val="Hipervnculo"/>
            <w:rFonts w:asciiTheme="majorHAnsi" w:hAnsiTheme="majorHAnsi"/>
            <w:lang w:val="es-ES_tradnl"/>
          </w:rPr>
          <w:t>https://bioconductor.org/packages/release/bioc/html/RCy3.html</w:t>
        </w:r>
      </w:hyperlink>
    </w:p>
    <w:p w14:paraId="2FD6240E" w14:textId="77777777" w:rsidR="00EF4CEB" w:rsidRPr="008B1910" w:rsidRDefault="00EF4CEB" w:rsidP="00EF4CEB">
      <w:pPr>
        <w:jc w:val="both"/>
        <w:rPr>
          <w:rFonts w:asciiTheme="majorHAnsi" w:hAnsiTheme="majorHAnsi"/>
          <w:lang w:val="es-ES_tradnl"/>
        </w:rPr>
      </w:pPr>
    </w:p>
    <w:sectPr w:rsidR="00EF4CEB" w:rsidRPr="008B1910" w:rsidSect="002F190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1E"/>
    <w:rsid w:val="00174F7E"/>
    <w:rsid w:val="002311A7"/>
    <w:rsid w:val="002D7A1E"/>
    <w:rsid w:val="002F1901"/>
    <w:rsid w:val="0033022A"/>
    <w:rsid w:val="008922C8"/>
    <w:rsid w:val="008B1910"/>
    <w:rsid w:val="00BA1C2A"/>
    <w:rsid w:val="00D87B01"/>
    <w:rsid w:val="00EF4CEB"/>
    <w:rsid w:val="00F52A3C"/>
    <w:rsid w:val="00FA6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708A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7A1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D7A1E"/>
    <w:rPr>
      <w:rFonts w:ascii="Lucida Grande" w:hAnsi="Lucida Grande"/>
      <w:sz w:val="18"/>
      <w:szCs w:val="18"/>
    </w:rPr>
  </w:style>
  <w:style w:type="character" w:styleId="Hipervnculo">
    <w:name w:val="Hyperlink"/>
    <w:basedOn w:val="Fuentedeprrafopredeter"/>
    <w:uiPriority w:val="99"/>
    <w:unhideWhenUsed/>
    <w:rsid w:val="00D87B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7A1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D7A1E"/>
    <w:rPr>
      <w:rFonts w:ascii="Lucida Grande" w:hAnsi="Lucida Grande"/>
      <w:sz w:val="18"/>
      <w:szCs w:val="18"/>
    </w:rPr>
  </w:style>
  <w:style w:type="character" w:styleId="Hipervnculo">
    <w:name w:val="Hyperlink"/>
    <w:basedOn w:val="Fuentedeprrafopredeter"/>
    <w:uiPriority w:val="99"/>
    <w:unhideWhenUsed/>
    <w:rsid w:val="00D87B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regulondb.ccg.unam.mx/" TargetMode="External"/><Relationship Id="rId7" Type="http://schemas.openxmlformats.org/officeDocument/2006/relationships/image" Target="media/image2.emf"/><Relationship Id="rId8" Type="http://schemas.openxmlformats.org/officeDocument/2006/relationships/image" Target="media/image3.jpeg"/><Relationship Id="rId9" Type="http://schemas.openxmlformats.org/officeDocument/2006/relationships/hyperlink" Target="https://bioconductor.org/packages/release/bioc/html/RCy3.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2033</Words>
  <Characters>11183</Characters>
  <Application>Microsoft Macintosh Word</Application>
  <DocSecurity>0</DocSecurity>
  <Lines>93</Lines>
  <Paragraphs>26</Paragraphs>
  <ScaleCrop>false</ScaleCrop>
  <Company>CCG-UNAM</Company>
  <LinksUpToDate>false</LinksUpToDate>
  <CharactersWithSpaces>13190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Ledezma</dc:creator>
  <cp:keywords/>
  <dc:description/>
  <cp:lastModifiedBy>Dany Ledezma</cp:lastModifiedBy>
  <cp:revision>6</cp:revision>
  <dcterms:created xsi:type="dcterms:W3CDTF">2018-04-25T00:13:00Z</dcterms:created>
  <dcterms:modified xsi:type="dcterms:W3CDTF">2018-07-29T23:40:00Z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32fca75b-631b-3134-8b4b-cd7a7ecc86a5</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http://www.zotero.org/styles/nucleic-acids-research</vt:lpwstr>
  </property>
  <property fmtid="{D5CDD505-2E9C-101B-9397-08002B2CF9AE}" pid="24" name="Mendeley Recent Style Name 9_1">
    <vt:lpwstr>Nucleic Acids Research</vt:lpwstr>
  </property>
</Properties>
</file>