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游ゴシック" w:hAnsi="游ゴシック"/>
          <w:b/>
          <w:color w:val="003366"/>
          <w:sz w:val="40"/>
          <w:rFonts w:eastAsia="游ゴシック"/>
        </w:rPr>
        <w:t>契約書レビューレポート</w:t>
      </w:r>
    </w:p>
    <w:p>
      <w:pPr>
        <w:spacing w:after="320"/>
        <w:jc w:val="center"/>
      </w:pPr>
      <w:r>
        <w:rPr>
          <w:rFonts w:ascii="游ゴシック" w:hAnsi="游ゴシック"/>
          <w:b w:val="0"/>
          <w:color w:val="505050"/>
          <w:sz w:val="22"/>
          <w:rFonts w:eastAsia="游ゴシック"/>
        </w:rPr>
        <w:t>業務委託基本契約書 / SLA・年間保守契約書</w:t>
      </w:r>
    </w:p>
    <w:tbl>
      <w:tblPr>
        <w:tblStyle w:val="TableGrid"/>
        <w:tblW w:type="auto" w:w="0"/>
        <w:tblLook w:firstColumn="1" w:firstRow="1" w:lastColumn="0" w:lastRow="0" w:noHBand="0" w:noVBand="1" w:val="04A0"/>
      </w:tblPr>
      <w:tblGrid>
        <w:gridCol w:w="4703"/>
        <w:gridCol w:w="4703"/>
      </w:tblGrid>
      <w:tr>
        <w:tc>
          <w:tcPr>
            <w:tcW w:type="dxa" w:w="4703"/>
            <w:shd w:val="clear" w:color="auto" w:fill="EBF3FF"/>
          </w:tcPr>
          <w:p>
            <w:r>
              <w:rPr>
                <w:rFonts w:ascii="游明朝" w:hAnsi="游明朝"/>
                <w:b/>
                <w:color w:val="003366"/>
                <w:sz w:val="21"/>
                <w:rFonts w:eastAsia="游明朝"/>
              </w:rPr>
              <w:t>文書</w:t>
            </w:r>
          </w:p>
        </w:tc>
        <w:tc>
          <w:tcPr>
            <w:tcW w:type="dxa" w:w="4703"/>
            <w:shd w:val="clear" w:color="auto" w:fill="F9F9F9"/>
          </w:tcPr>
          <w:p>
            <w:r>
              <w:rPr>
                <w:rFonts w:ascii="游明朝" w:hAnsi="游明朝"/>
                <w:b w:val="0"/>
                <w:sz w:val="21"/>
                <w:rFonts w:eastAsia="游明朝"/>
              </w:rPr>
              <w:t>①業務委託基本契約書　②業務委託契約書（SLA・年間保守）</w:t>
            </w:r>
          </w:p>
        </w:tc>
      </w:tr>
      <w:tr>
        <w:tc>
          <w:tcPr>
            <w:tcW w:type="dxa" w:w="4703"/>
            <w:shd w:val="clear" w:color="auto" w:fill="EBF3FF"/>
          </w:tcPr>
          <w:p>
            <w:r>
              <w:rPr>
                <w:rFonts w:ascii="游明朝" w:hAnsi="游明朝"/>
                <w:b/>
                <w:color w:val="003366"/>
                <w:sz w:val="21"/>
                <w:rFonts w:eastAsia="游明朝"/>
              </w:rPr>
              <w:t>当事者</w:t>
            </w:r>
          </w:p>
        </w:tc>
        <w:tc>
          <w:tcPr>
            <w:tcW w:type="dxa" w:w="4703"/>
            <w:shd w:val="clear" w:color="auto" w:fill="F9F9F9"/>
          </w:tcPr>
          <w:p>
            <w:r>
              <w:rPr>
                <w:rFonts w:ascii="游明朝" w:hAnsi="游明朝"/>
                <w:b w:val="0"/>
                <w:sz w:val="21"/>
                <w:rFonts w:eastAsia="游明朝"/>
              </w:rPr>
              <w:t>甲：株式会社日本パープル（顧客）　乙：株式会社LIG（ベンダー）</w:t>
            </w:r>
          </w:p>
        </w:tc>
      </w:tr>
      <w:tr>
        <w:tc>
          <w:tcPr>
            <w:tcW w:type="dxa" w:w="4703"/>
            <w:shd w:val="clear" w:color="auto" w:fill="EBF3FF"/>
          </w:tcPr>
          <w:p>
            <w:r>
              <w:rPr>
                <w:rFonts w:ascii="游明朝" w:hAnsi="游明朝"/>
                <w:b/>
                <w:color w:val="003366"/>
                <w:sz w:val="21"/>
                <w:rFonts w:eastAsia="游明朝"/>
              </w:rPr>
              <w:t>貴社の立場</w:t>
            </w:r>
          </w:p>
        </w:tc>
        <w:tc>
          <w:tcPr>
            <w:tcW w:type="dxa" w:w="4703"/>
            <w:shd w:val="clear" w:color="auto" w:fill="F9F9F9"/>
          </w:tcPr>
          <w:p>
            <w:r>
              <w:rPr>
                <w:rFonts w:ascii="游明朝" w:hAnsi="游明朝"/>
                <w:b w:val="0"/>
                <w:sz w:val="21"/>
                <w:rFonts w:eastAsia="游明朝"/>
              </w:rPr>
              <w:t>顧客（甲）</w:t>
            </w:r>
          </w:p>
        </w:tc>
      </w:tr>
      <w:tr>
        <w:tc>
          <w:tcPr>
            <w:tcW w:type="dxa" w:w="4703"/>
            <w:shd w:val="clear" w:color="auto" w:fill="EBF3FF"/>
          </w:tcPr>
          <w:p>
            <w:r>
              <w:rPr>
                <w:rFonts w:ascii="游明朝" w:hAnsi="游明朝"/>
                <w:b/>
                <w:color w:val="003366"/>
                <w:sz w:val="21"/>
                <w:rFonts w:eastAsia="游明朝"/>
              </w:rPr>
              <w:t>締切</w:t>
            </w:r>
          </w:p>
        </w:tc>
        <w:tc>
          <w:tcPr>
            <w:tcW w:type="dxa" w:w="4703"/>
            <w:shd w:val="clear" w:color="auto" w:fill="F9F9F9"/>
          </w:tcPr>
          <w:p>
            <w:r>
              <w:rPr>
                <w:rFonts w:ascii="游明朝" w:hAnsi="游明朝"/>
                <w:b w:val="0"/>
                <w:sz w:val="21"/>
                <w:rFonts w:eastAsia="游明朝"/>
              </w:rPr>
              <w:t>至急</w:t>
            </w:r>
          </w:p>
        </w:tc>
      </w:tr>
      <w:tr>
        <w:tc>
          <w:tcPr>
            <w:tcW w:type="dxa" w:w="4703"/>
            <w:shd w:val="clear" w:color="auto" w:fill="EBF3FF"/>
          </w:tcPr>
          <w:p>
            <w:r>
              <w:rPr>
                <w:rFonts w:ascii="游明朝" w:hAnsi="游明朝"/>
                <w:b/>
                <w:color w:val="003366"/>
                <w:sz w:val="21"/>
                <w:rFonts w:eastAsia="游明朝"/>
              </w:rPr>
              <w:t>重点事項</w:t>
            </w:r>
          </w:p>
        </w:tc>
        <w:tc>
          <w:tcPr>
            <w:tcW w:type="dxa" w:w="4703"/>
            <w:shd w:val="clear" w:color="auto" w:fill="F9F9F9"/>
          </w:tcPr>
          <w:p>
            <w:r>
              <w:rPr>
                <w:rFonts w:ascii="游明朝" w:hAnsi="游明朝"/>
                <w:b w:val="0"/>
                <w:sz w:val="21"/>
                <w:rFonts w:eastAsia="游明朝"/>
              </w:rPr>
              <w:t>ConPassの開発</w:t>
            </w:r>
          </w:p>
        </w:tc>
      </w:tr>
      <w:tr>
        <w:tc>
          <w:tcPr>
            <w:tcW w:type="dxa" w:w="4703"/>
            <w:shd w:val="clear" w:color="auto" w:fill="EBF3FF"/>
          </w:tcPr>
          <w:p>
            <w:r>
              <w:rPr>
                <w:rFonts w:ascii="游明朝" w:hAnsi="游明朝"/>
                <w:b/>
                <w:color w:val="003366"/>
                <w:sz w:val="21"/>
                <w:rFonts w:eastAsia="游明朝"/>
              </w:rPr>
              <w:t>レビュー実施日</w:t>
            </w:r>
          </w:p>
        </w:tc>
        <w:tc>
          <w:tcPr>
            <w:tcW w:type="dxa" w:w="4703"/>
            <w:shd w:val="clear" w:color="auto" w:fill="F9F9F9"/>
          </w:tcPr>
          <w:p>
            <w:r>
              <w:rPr>
                <w:rFonts w:ascii="游明朝" w:hAnsi="游明朝"/>
                <w:b w:val="0"/>
                <w:sz w:val="21"/>
                <w:rFonts w:eastAsia="游明朝"/>
              </w:rPr>
              <w:t>2026年2月18日</w:t>
            </w:r>
          </w:p>
        </w:tc>
      </w:tr>
      <w:tr>
        <w:tc>
          <w:tcPr>
            <w:tcW w:type="dxa" w:w="4703"/>
            <w:shd w:val="clear" w:color="auto" w:fill="EBF3FF"/>
          </w:tcPr>
          <w:p>
            <w:r>
              <w:rPr>
                <w:rFonts w:ascii="游明朝" w:hAnsi="游明朝"/>
                <w:b/>
                <w:color w:val="003366"/>
                <w:sz w:val="21"/>
                <w:rFonts w:eastAsia="游明朝"/>
              </w:rPr>
              <w:t>レビュー基準</w:t>
            </w:r>
          </w:p>
        </w:tc>
        <w:tc>
          <w:tcPr>
            <w:tcW w:type="dxa" w:w="4703"/>
            <w:shd w:val="clear" w:color="auto" w:fill="F9F9F9"/>
          </w:tcPr>
          <w:p>
            <w:r>
              <w:rPr>
                <w:rFonts w:ascii="游明朝" w:hAnsi="游明朝"/>
                <w:b w:val="0"/>
                <w:sz w:val="21"/>
                <w:rFonts w:eastAsia="游明朝"/>
              </w:rPr>
              <w:t>一般的な商慣行基準（組織固有プレイブック未設定）</w:t>
            </w:r>
          </w:p>
        </w:tc>
      </w:tr>
    </w:tbl>
    <w:p>
      <w:pPr>
        <w:spacing w:after="80"/>
      </w:pPr>
    </w:p>
    <w:p>
      <w:pPr>
        <w:spacing w:after="240"/>
      </w:pPr>
      <w:r>
        <w:rPr>
          <w:rFonts w:ascii="游明朝" w:hAnsi="游明朝"/>
          <w:b/>
          <w:color w:val="BF8F00"/>
          <w:sz w:val="21"/>
          <w:rFonts w:eastAsia="游明朝"/>
        </w:rPr>
        <w:t>⚠️  重要な前提：現在の契約書は「保守・運用支援（SLA）」が対象です。ConPassの新規開発については、基本契約に基づく別途の個別契約（請負型）の締結が必須です。</w:t>
      </w:r>
    </w:p>
    <w:p>
      <w:pPr>
        <w:spacing w:before="240" w:after="120"/>
        <w:pBdr>
          <w:bottom w:val="single" w:sz="6" w:space="4" w:color="003366"/>
        </w:pBdr>
      </w:pPr>
      <w:r>
        <w:rPr>
          <w:rFonts w:ascii="游ゴシック" w:hAnsi="游ゴシック"/>
          <w:b/>
          <w:color w:val="003366"/>
          <w:sz w:val="32"/>
          <w:rFonts w:eastAsia="游ゴシック"/>
        </w:rPr>
        <w:t>主要発見事項（優先度順）</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3366"/>
          </w:tcPr>
          <w:p>
            <w:r>
              <w:rPr>
                <w:rFonts w:ascii="游ゴシック" w:hAnsi="游ゴシック"/>
                <w:b/>
                <w:color w:val="FFFFFF"/>
                <w:sz w:val="21"/>
                <w:rFonts w:eastAsia="游ゴシック"/>
              </w:rPr>
              <w:t>#</w:t>
            </w:r>
          </w:p>
        </w:tc>
        <w:tc>
          <w:tcPr>
            <w:tcW w:type="dxa" w:w="2351"/>
            <w:shd w:val="clear" w:color="auto" w:fill="003366"/>
          </w:tcPr>
          <w:p>
            <w:r>
              <w:rPr>
                <w:rFonts w:ascii="游ゴシック" w:hAnsi="游ゴシック"/>
                <w:b/>
                <w:color w:val="FFFFFF"/>
                <w:sz w:val="21"/>
                <w:rFonts w:eastAsia="游ゴシック"/>
              </w:rPr>
              <w:t>条項</w:t>
            </w:r>
          </w:p>
        </w:tc>
        <w:tc>
          <w:tcPr>
            <w:tcW w:type="dxa" w:w="2351"/>
            <w:shd w:val="clear" w:color="auto" w:fill="003366"/>
          </w:tcPr>
          <w:p>
            <w:r>
              <w:rPr>
                <w:rFonts w:ascii="游ゴシック" w:hAnsi="游ゴシック"/>
                <w:b/>
                <w:color w:val="FFFFFF"/>
                <w:sz w:val="21"/>
                <w:rFonts w:eastAsia="游ゴシック"/>
              </w:rPr>
              <w:t>区分</w:t>
            </w:r>
          </w:p>
        </w:tc>
        <w:tc>
          <w:tcPr>
            <w:tcW w:type="dxa" w:w="2351"/>
            <w:shd w:val="clear" w:color="auto" w:fill="003366"/>
          </w:tcPr>
          <w:p>
            <w:r>
              <w:rPr>
                <w:rFonts w:ascii="游ゴシック" w:hAnsi="游ゴシック"/>
                <w:b/>
                <w:color w:val="FFFFFF"/>
                <w:sz w:val="21"/>
                <w:rFonts w:eastAsia="游ゴシック"/>
              </w:rPr>
              <w:t>概要</w:t>
            </w:r>
          </w:p>
        </w:tc>
      </w:tr>
      <w:tr>
        <w:tc>
          <w:tcPr>
            <w:tcW w:type="dxa" w:w="2351"/>
            <w:shd w:val="clear" w:color="auto" w:fill="FFF2F2"/>
          </w:tcPr>
          <w:p>
            <w:r>
              <w:rPr>
                <w:rFonts w:ascii="游明朝" w:hAnsi="游明朝"/>
                <w:b w:val="0"/>
                <w:color w:val="282828"/>
                <w:sz w:val="21"/>
                <w:rFonts w:eastAsia="游明朝"/>
              </w:rPr>
              <w:t>1</w:t>
            </w:r>
          </w:p>
        </w:tc>
        <w:tc>
          <w:tcPr>
            <w:tcW w:type="dxa" w:w="2351"/>
            <w:shd w:val="clear" w:color="auto" w:fill="FFF2F2"/>
          </w:tcPr>
          <w:p>
            <w:r>
              <w:rPr>
                <w:rFonts w:ascii="游明朝" w:hAnsi="游明朝"/>
                <w:b w:val="0"/>
                <w:color w:val="282828"/>
                <w:sz w:val="21"/>
                <w:rFonts w:eastAsia="游明朝"/>
              </w:rPr>
              <w:t>（契約構造）</w:t>
            </w:r>
          </w:p>
        </w:tc>
        <w:tc>
          <w:tcPr>
            <w:tcW w:type="dxa" w:w="2351"/>
            <w:shd w:val="clear" w:color="auto" w:fill="FFF2F2"/>
          </w:tcPr>
          <w:p>
            <w:r>
              <w:rPr>
                <w:rFonts w:ascii="游明朝" w:hAnsi="游明朝"/>
                <w:b/>
                <w:color w:val="C00000"/>
                <w:sz w:val="21"/>
                <w:rFonts w:eastAsia="游明朝"/>
              </w:rPr>
              <w:t>🔴 RED</w:t>
            </w:r>
          </w:p>
        </w:tc>
        <w:tc>
          <w:tcPr>
            <w:tcW w:type="dxa" w:w="2351"/>
            <w:shd w:val="clear" w:color="auto" w:fill="FFF2F2"/>
          </w:tcPr>
          <w:p>
            <w:r>
              <w:rPr>
                <w:rFonts w:ascii="游明朝" w:hAnsi="游明朝"/>
                <w:b w:val="0"/>
                <w:color w:val="282828"/>
                <w:sz w:val="21"/>
                <w:rFonts w:eastAsia="游明朝"/>
              </w:rPr>
              <w:t>ConPass開発用・個別契約（請負型）が未締結</w:t>
            </w:r>
          </w:p>
        </w:tc>
      </w:tr>
      <w:tr>
        <w:tc>
          <w:tcPr>
            <w:tcW w:type="dxa" w:w="2351"/>
            <w:shd w:val="clear" w:color="auto" w:fill="FFF2F2"/>
          </w:tcPr>
          <w:p>
            <w:r>
              <w:rPr>
                <w:rFonts w:ascii="游明朝" w:hAnsi="游明朝"/>
                <w:b w:val="0"/>
                <w:color w:val="282828"/>
                <w:sz w:val="21"/>
                <w:rFonts w:eastAsia="游明朝"/>
              </w:rPr>
              <w:t>2</w:t>
            </w:r>
          </w:p>
        </w:tc>
        <w:tc>
          <w:tcPr>
            <w:tcW w:type="dxa" w:w="2351"/>
            <w:shd w:val="clear" w:color="auto" w:fill="FFF2F2"/>
          </w:tcPr>
          <w:p>
            <w:r>
              <w:rPr>
                <w:rFonts w:ascii="游明朝" w:hAnsi="游明朝"/>
                <w:b w:val="0"/>
                <w:color w:val="282828"/>
                <w:sz w:val="21"/>
                <w:rFonts w:eastAsia="游明朝"/>
              </w:rPr>
              <w:t>第13条（特許権等）</w:t>
            </w:r>
          </w:p>
        </w:tc>
        <w:tc>
          <w:tcPr>
            <w:tcW w:type="dxa" w:w="2351"/>
            <w:shd w:val="clear" w:color="auto" w:fill="FFF2F2"/>
          </w:tcPr>
          <w:p>
            <w:r>
              <w:rPr>
                <w:rFonts w:ascii="游明朝" w:hAnsi="游明朝"/>
                <w:b/>
                <w:color w:val="C00000"/>
                <w:sz w:val="21"/>
                <w:rFonts w:eastAsia="游明朝"/>
              </w:rPr>
              <w:t>🔴 RED</w:t>
            </w:r>
          </w:p>
        </w:tc>
        <w:tc>
          <w:tcPr>
            <w:tcW w:type="dxa" w:w="2351"/>
            <w:shd w:val="clear" w:color="auto" w:fill="FFF2F2"/>
          </w:tcPr>
          <w:p>
            <w:r>
              <w:rPr>
                <w:rFonts w:ascii="游明朝" w:hAnsi="游明朝"/>
                <w:b w:val="0"/>
                <w:color w:val="282828"/>
                <w:sz w:val="21"/>
                <w:rFonts w:eastAsia="游明朝"/>
              </w:rPr>
              <w:t>ConPass開発中の発明がLIGに帰属するリスク</w:t>
            </w:r>
          </w:p>
        </w:tc>
      </w:tr>
      <w:tr>
        <w:tc>
          <w:tcPr>
            <w:tcW w:type="dxa" w:w="2351"/>
            <w:shd w:val="clear" w:color="auto" w:fill="FFF2F2"/>
          </w:tcPr>
          <w:p>
            <w:r>
              <w:rPr>
                <w:rFonts w:ascii="游明朝" w:hAnsi="游明朝"/>
                <w:b w:val="0"/>
                <w:color w:val="282828"/>
                <w:sz w:val="21"/>
                <w:rFonts w:eastAsia="游明朝"/>
              </w:rPr>
              <w:t>3</w:t>
            </w:r>
          </w:p>
        </w:tc>
        <w:tc>
          <w:tcPr>
            <w:tcW w:type="dxa" w:w="2351"/>
            <w:shd w:val="clear" w:color="auto" w:fill="FFF2F2"/>
          </w:tcPr>
          <w:p>
            <w:r>
              <w:rPr>
                <w:rFonts w:ascii="游明朝" w:hAnsi="游明朝"/>
                <w:b w:val="0"/>
                <w:color w:val="282828"/>
                <w:sz w:val="21"/>
                <w:rFonts w:eastAsia="游明朝"/>
              </w:rPr>
              <w:t>第5条 SLA（再委託）</w:t>
            </w:r>
          </w:p>
        </w:tc>
        <w:tc>
          <w:tcPr>
            <w:tcW w:type="dxa" w:w="2351"/>
            <w:shd w:val="clear" w:color="auto" w:fill="FFF2F2"/>
          </w:tcPr>
          <w:p>
            <w:r>
              <w:rPr>
                <w:rFonts w:ascii="游明朝" w:hAnsi="游明朝"/>
                <w:b/>
                <w:color w:val="C00000"/>
                <w:sz w:val="21"/>
                <w:rFonts w:eastAsia="游明朝"/>
              </w:rPr>
              <w:t>🔴 RED</w:t>
            </w:r>
          </w:p>
        </w:tc>
        <w:tc>
          <w:tcPr>
            <w:tcW w:type="dxa" w:w="2351"/>
            <w:shd w:val="clear" w:color="auto" w:fill="FFF2F2"/>
          </w:tcPr>
          <w:p>
            <w:r>
              <w:rPr>
                <w:rFonts w:ascii="游明朝" w:hAnsi="游明朝"/>
                <w:b w:val="0"/>
                <w:color w:val="282828"/>
                <w:sz w:val="21"/>
                <w:rFonts w:eastAsia="游明朝"/>
              </w:rPr>
              <w:t>バングラデシュ企業への事前了承、情報セキュリティ懸念</w:t>
            </w:r>
          </w:p>
        </w:tc>
      </w:tr>
      <w:tr>
        <w:tc>
          <w:tcPr>
            <w:tcW w:type="dxa" w:w="2351"/>
            <w:shd w:val="clear" w:color="auto" w:fill="FFF2F2"/>
          </w:tcPr>
          <w:p>
            <w:r>
              <w:rPr>
                <w:rFonts w:ascii="游明朝" w:hAnsi="游明朝"/>
                <w:b w:val="0"/>
                <w:color w:val="282828"/>
                <w:sz w:val="21"/>
                <w:rFonts w:eastAsia="游明朝"/>
              </w:rPr>
              <w:t>4</w:t>
            </w:r>
          </w:p>
        </w:tc>
        <w:tc>
          <w:tcPr>
            <w:tcW w:type="dxa" w:w="2351"/>
            <w:shd w:val="clear" w:color="auto" w:fill="FFF2F2"/>
          </w:tcPr>
          <w:p>
            <w:r>
              <w:rPr>
                <w:rFonts w:ascii="游明朝" w:hAnsi="游明朝"/>
                <w:b w:val="0"/>
                <w:color w:val="282828"/>
                <w:sz w:val="21"/>
                <w:rFonts w:eastAsia="游明朝"/>
              </w:rPr>
              <w:t>第4条 SLA（SLAペナルティ）</w:t>
            </w:r>
          </w:p>
        </w:tc>
        <w:tc>
          <w:tcPr>
            <w:tcW w:type="dxa" w:w="2351"/>
            <w:shd w:val="clear" w:color="auto" w:fill="FFF2F2"/>
          </w:tcPr>
          <w:p>
            <w:r>
              <w:rPr>
                <w:rFonts w:ascii="游明朝" w:hAnsi="游明朝"/>
                <w:b/>
                <w:color w:val="C00000"/>
                <w:sz w:val="21"/>
                <w:rFonts w:eastAsia="游明朝"/>
              </w:rPr>
              <w:t>🔴 RED</w:t>
            </w:r>
          </w:p>
        </w:tc>
        <w:tc>
          <w:tcPr>
            <w:tcW w:type="dxa" w:w="2351"/>
            <w:shd w:val="clear" w:color="auto" w:fill="FFF2F2"/>
          </w:tcPr>
          <w:p>
            <w:r>
              <w:rPr>
                <w:rFonts w:ascii="游明朝" w:hAnsi="游明朝"/>
                <w:b w:val="0"/>
                <w:color w:val="282828"/>
                <w:sz w:val="21"/>
                <w:rFonts w:eastAsia="游明朝"/>
              </w:rPr>
              <w:t>対応時間未達時のペナルティ規定なし</w:t>
            </w:r>
          </w:p>
        </w:tc>
      </w:tr>
      <w:tr>
        <w:tc>
          <w:tcPr>
            <w:tcW w:type="dxa" w:w="2351"/>
            <w:shd w:val="clear" w:color="auto" w:fill="FFFBF0"/>
          </w:tcPr>
          <w:p>
            <w:r>
              <w:rPr>
                <w:rFonts w:ascii="游明朝" w:hAnsi="游明朝"/>
                <w:b w:val="0"/>
                <w:color w:val="282828"/>
                <w:sz w:val="21"/>
                <w:rFonts w:eastAsia="游明朝"/>
              </w:rPr>
              <w:t>5</w:t>
            </w:r>
          </w:p>
        </w:tc>
        <w:tc>
          <w:tcPr>
            <w:tcW w:type="dxa" w:w="2351"/>
            <w:shd w:val="clear" w:color="auto" w:fill="FFFBF0"/>
          </w:tcPr>
          <w:p>
            <w:r>
              <w:rPr>
                <w:rFonts w:ascii="游明朝" w:hAnsi="游明朝"/>
                <w:b w:val="0"/>
                <w:color w:val="282828"/>
                <w:sz w:val="21"/>
                <w:rFonts w:eastAsia="游明朝"/>
              </w:rPr>
              <w:t>第25条（損害賠償上限）</w:t>
            </w:r>
          </w:p>
        </w:tc>
        <w:tc>
          <w:tcPr>
            <w:tcW w:type="dxa" w:w="2351"/>
            <w:shd w:val="clear" w:color="auto" w:fill="FFFBF0"/>
          </w:tcPr>
          <w:p>
            <w:r>
              <w:rPr>
                <w:rFonts w:ascii="游明朝" w:hAnsi="游明朝"/>
                <w:b/>
                <w:color w:val="BF8F00"/>
                <w:sz w:val="21"/>
                <w:rFonts w:eastAsia="游明朝"/>
              </w:rPr>
              <w:t>🟡 YELLOW</w:t>
            </w:r>
          </w:p>
        </w:tc>
        <w:tc>
          <w:tcPr>
            <w:tcW w:type="dxa" w:w="2351"/>
            <w:shd w:val="clear" w:color="auto" w:fill="FFFBF0"/>
          </w:tcPr>
          <w:p>
            <w:r>
              <w:rPr>
                <w:rFonts w:ascii="游明朝" w:hAnsi="游明朝"/>
                <w:b w:val="0"/>
                <w:color w:val="282828"/>
                <w:sz w:val="21"/>
                <w:rFonts w:eastAsia="游明朝"/>
              </w:rPr>
              <w:t>上限が「実際支払済み業務委託料の合計額」のみ</w:t>
            </w:r>
          </w:p>
        </w:tc>
      </w:tr>
      <w:tr>
        <w:tc>
          <w:tcPr>
            <w:tcW w:type="dxa" w:w="2351"/>
            <w:shd w:val="clear" w:color="auto" w:fill="FFFBF0"/>
          </w:tcPr>
          <w:p>
            <w:r>
              <w:rPr>
                <w:rFonts w:ascii="游明朝" w:hAnsi="游明朝"/>
                <w:b w:val="0"/>
                <w:color w:val="282828"/>
                <w:sz w:val="21"/>
                <w:rFonts w:eastAsia="游明朝"/>
              </w:rPr>
              <w:t>6</w:t>
            </w:r>
          </w:p>
        </w:tc>
        <w:tc>
          <w:tcPr>
            <w:tcW w:type="dxa" w:w="2351"/>
            <w:shd w:val="clear" w:color="auto" w:fill="FFFBF0"/>
          </w:tcPr>
          <w:p>
            <w:r>
              <w:rPr>
                <w:rFonts w:ascii="游明朝" w:hAnsi="游明朝"/>
                <w:b w:val="0"/>
                <w:color w:val="282828"/>
                <w:sz w:val="21"/>
                <w:rFonts w:eastAsia="游明朝"/>
              </w:rPr>
              <w:t>第16条第3項（為替変動）</w:t>
            </w:r>
          </w:p>
        </w:tc>
        <w:tc>
          <w:tcPr>
            <w:tcW w:type="dxa" w:w="2351"/>
            <w:shd w:val="clear" w:color="auto" w:fill="FFFBF0"/>
          </w:tcPr>
          <w:p>
            <w:r>
              <w:rPr>
                <w:rFonts w:ascii="游明朝" w:hAnsi="游明朝"/>
                <w:b/>
                <w:color w:val="BF8F00"/>
                <w:sz w:val="21"/>
                <w:rFonts w:eastAsia="游明朝"/>
              </w:rPr>
              <w:t>🟡 YELLOW</w:t>
            </w:r>
          </w:p>
        </w:tc>
        <w:tc>
          <w:tcPr>
            <w:tcW w:type="dxa" w:w="2351"/>
            <w:shd w:val="clear" w:color="auto" w:fill="FFFBF0"/>
          </w:tcPr>
          <w:p>
            <w:r>
              <w:rPr>
                <w:rFonts w:ascii="游明朝" w:hAnsi="游明朝"/>
                <w:b w:val="0"/>
                <w:color w:val="282828"/>
                <w:sz w:val="21"/>
                <w:rFonts w:eastAsia="游明朝"/>
              </w:rPr>
              <w:t>5%以上の円安でベンダーが追加請求可能</w:t>
            </w:r>
          </w:p>
        </w:tc>
      </w:tr>
      <w:tr>
        <w:tc>
          <w:tcPr>
            <w:tcW w:type="dxa" w:w="2351"/>
            <w:shd w:val="clear" w:color="auto" w:fill="FFFBF0"/>
          </w:tcPr>
          <w:p>
            <w:r>
              <w:rPr>
                <w:rFonts w:ascii="游明朝" w:hAnsi="游明朝"/>
                <w:b w:val="0"/>
                <w:color w:val="282828"/>
                <w:sz w:val="21"/>
                <w:rFonts w:eastAsia="游明朝"/>
              </w:rPr>
              <w:t>7</w:t>
            </w:r>
          </w:p>
        </w:tc>
        <w:tc>
          <w:tcPr>
            <w:tcW w:type="dxa" w:w="2351"/>
            <w:shd w:val="clear" w:color="auto" w:fill="FFFBF0"/>
          </w:tcPr>
          <w:p>
            <w:r>
              <w:rPr>
                <w:rFonts w:ascii="游明朝" w:hAnsi="游明朝"/>
                <w:b w:val="0"/>
                <w:color w:val="282828"/>
                <w:sz w:val="21"/>
                <w:rFonts w:eastAsia="游明朝"/>
              </w:rPr>
              <w:t>第20条（契約不適合責任）</w:t>
            </w:r>
          </w:p>
        </w:tc>
        <w:tc>
          <w:tcPr>
            <w:tcW w:type="dxa" w:w="2351"/>
            <w:shd w:val="clear" w:color="auto" w:fill="FFFBF0"/>
          </w:tcPr>
          <w:p>
            <w:r>
              <w:rPr>
                <w:rFonts w:ascii="游明朝" w:hAnsi="游明朝"/>
                <w:b/>
                <w:color w:val="BF8F00"/>
                <w:sz w:val="21"/>
                <w:rFonts w:eastAsia="游明朝"/>
              </w:rPr>
              <w:t>🟡 YELLOW</w:t>
            </w:r>
          </w:p>
        </w:tc>
        <w:tc>
          <w:tcPr>
            <w:tcW w:type="dxa" w:w="2351"/>
            <w:shd w:val="clear" w:color="auto" w:fill="FFFBF0"/>
          </w:tcPr>
          <w:p>
            <w:r>
              <w:rPr>
                <w:rFonts w:ascii="游明朝" w:hAnsi="游明朝"/>
                <w:b w:val="0"/>
                <w:color w:val="282828"/>
                <w:sz w:val="21"/>
                <w:rFonts w:eastAsia="游明朝"/>
              </w:rPr>
              <w:t>検収後1年の通知期限（開発案件には短い）</w:t>
            </w:r>
          </w:p>
        </w:tc>
      </w:tr>
      <w:tr>
        <w:tc>
          <w:tcPr>
            <w:tcW w:type="dxa" w:w="2351"/>
            <w:shd w:val="clear" w:color="auto" w:fill="FFFBF0"/>
          </w:tcPr>
          <w:p>
            <w:r>
              <w:rPr>
                <w:rFonts w:ascii="游明朝" w:hAnsi="游明朝"/>
                <w:b w:val="0"/>
                <w:color w:val="282828"/>
                <w:sz w:val="21"/>
                <w:rFonts w:eastAsia="游明朝"/>
              </w:rPr>
              <w:t>8</w:t>
            </w:r>
          </w:p>
        </w:tc>
        <w:tc>
          <w:tcPr>
            <w:tcW w:type="dxa" w:w="2351"/>
            <w:shd w:val="clear" w:color="auto" w:fill="FFFBF0"/>
          </w:tcPr>
          <w:p>
            <w:r>
              <w:rPr>
                <w:rFonts w:ascii="游明朝" w:hAnsi="游明朝"/>
                <w:b w:val="0"/>
                <w:color w:val="282828"/>
                <w:sz w:val="21"/>
                <w:rFonts w:eastAsia="游明朝"/>
              </w:rPr>
              <w:t>第17条（秘密情報）</w:t>
            </w:r>
          </w:p>
        </w:tc>
        <w:tc>
          <w:tcPr>
            <w:tcW w:type="dxa" w:w="2351"/>
            <w:shd w:val="clear" w:color="auto" w:fill="FFFBF0"/>
          </w:tcPr>
          <w:p>
            <w:r>
              <w:rPr>
                <w:rFonts w:ascii="游明朝" w:hAnsi="游明朝"/>
                <w:b/>
                <w:color w:val="BF8F00"/>
                <w:sz w:val="21"/>
                <w:rFonts w:eastAsia="游明朝"/>
              </w:rPr>
              <w:t>🟡 YELLOW</w:t>
            </w:r>
          </w:p>
        </w:tc>
        <w:tc>
          <w:tcPr>
            <w:tcW w:type="dxa" w:w="2351"/>
            <w:shd w:val="clear" w:color="auto" w:fill="FFFBF0"/>
          </w:tcPr>
          <w:p>
            <w:r>
              <w:rPr>
                <w:rFonts w:ascii="游明朝" w:hAnsi="游明朝"/>
                <w:b w:val="0"/>
                <w:color w:val="282828"/>
                <w:sz w:val="21"/>
                <w:rFonts w:eastAsia="游明朝"/>
              </w:rPr>
              <w:t>口頭開示7日以内書面化義務が実務負担</w:t>
            </w:r>
          </w:p>
        </w:tc>
      </w:tr>
    </w:tbl>
    <w:p>
      <w:pPr>
        <w:spacing w:after="80"/>
      </w:pPr>
    </w:p>
    <w:p>
      <w:pPr>
        <w:spacing w:before="240" w:after="120"/>
        <w:pBdr>
          <w:bottom w:val="single" w:sz="6" w:space="4" w:color="003366"/>
        </w:pBdr>
      </w:pPr>
      <w:r>
        <w:rPr>
          <w:rFonts w:ascii="游ゴシック" w:hAnsi="游ゴシック"/>
          <w:b/>
          <w:color w:val="003366"/>
          <w:sz w:val="32"/>
          <w:rFonts w:eastAsia="游ゴシック"/>
        </w:rPr>
        <w:t>条項別分析</w:t>
      </w:r>
    </w:p>
    <w:p>
      <w:pPr>
        <w:spacing w:before="240" w:after="120"/>
      </w:pPr>
      <w:r>
        <w:rPr>
          <w:rFonts w:ascii="游ゴシック" w:hAnsi="游ゴシック"/>
          <w:b/>
          <w:color w:val="00467F"/>
          <w:sz w:val="26"/>
          <w:rFonts w:eastAsia="游ゴシック"/>
        </w:rPr>
        <w:t>【ConPass開発 前提確認】— 🔴 RED（契約構造の問題）</w:t>
      </w:r>
    </w:p>
    <w:p>
      <w:pPr>
        <w:spacing w:before="200" w:after="40"/>
      </w:pPr>
      <w:r>
        <w:rPr>
          <w:rFonts w:ascii="游ゴシック" w:hAnsi="游ゴシック"/>
          <w:b/>
          <w:color w:val="003366"/>
          <w:sz w:val="22"/>
          <w:rFonts w:eastAsia="游ゴシック"/>
        </w:rPr>
        <w:t xml:space="preserve">  </w:t>
      </w:r>
      <w:r>
        <w:rPr>
          <w:rFonts w:ascii="游ゴシック" w:hAnsi="游ゴシック"/>
          <w:b/>
          <w:color w:val="C00000"/>
          <w:sz w:val="21"/>
          <w:rFonts w:eastAsia="游ゴシック"/>
        </w:rPr>
        <w:t>🔴 RED</w:t>
      </w:r>
    </w:p>
    <w:tbl>
      <w:tblPr>
        <w:tblStyle w:val="TableGrid"/>
        <w:tblW w:type="auto" w:w="0"/>
        <w:tblLook w:firstColumn="1" w:firstRow="1" w:lastColumn="0" w:lastRow="0" w:noHBand="0" w:noVBand="1" w:val="04A0"/>
      </w:tblPr>
      <w:tblGrid>
        <w:gridCol w:w="9406"/>
      </w:tblGrid>
      <w:tr>
        <w:tc>
          <w:tcPr>
            <w:tcW w:type="dxa" w:w="8640"/>
            <w:shd w:val="clear" w:color="auto" w:fill="FFF2F2"/>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C00000"/>
                <w:sz w:val="21"/>
                <w:rFonts w:eastAsia="游明朝"/>
              </w:rPr>
              <w:t xml:space="preserve">契約書の記載：  </w:t>
            </w:r>
            <w:r>
              <w:rPr>
                <w:rFonts w:ascii="游明朝" w:hAnsi="游明朝"/>
                <w:b w:val="0"/>
                <w:sz w:val="21"/>
                <w:rFonts w:eastAsia="游明朝"/>
              </w:rPr>
              <w:t>現在の個別契約（SLA・保守）は準委任型。「第19条・第20条（成果物の検収・契約不適合責任）は適用されない」（個別契約 第2条2項）</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FF2F2"/>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C00000"/>
                <w:sz w:val="21"/>
                <w:rFonts w:eastAsia="游明朝"/>
              </w:rPr>
              <w:t xml:space="preserve">問題点：  </w:t>
            </w:r>
            <w:r>
              <w:rPr>
                <w:rFonts w:ascii="游明朝" w:hAnsi="游明朝"/>
                <w:b w:val="0"/>
                <w:sz w:val="21"/>
                <w:rFonts w:eastAsia="游明朝"/>
              </w:rPr>
              <w:t>ConPassの新規開発は本SLA個別契約の対象外。開発業務には「請負型」の個別契約が必要（成果物完成義務・検収・1年間の契約不適合責任）。</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FF2F2"/>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C00000"/>
                <w:sz w:val="21"/>
                <w:rFonts w:eastAsia="游明朝"/>
              </w:rPr>
              <w:t xml:space="preserve">ビジネスインパクト：  </w:t>
            </w:r>
            <w:r>
              <w:rPr>
                <w:rFonts w:ascii="游明朝" w:hAnsi="游明朝"/>
                <w:b w:val="0"/>
                <w:sz w:val="21"/>
                <w:rFonts w:eastAsia="游明朝"/>
              </w:rPr>
              <w:t>開発専用の個別契約なしに業務を進めると、成果物の完成義務を問えない（善管注意義務のみ）、瑕疵担保の主張ができないという重大リスクがあります。</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FF2F2"/>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C00000"/>
                <w:sz w:val="21"/>
                <w:rFonts w:eastAsia="游明朝"/>
              </w:rPr>
              <w:t xml:space="preserve">推奨アクション：  </w:t>
            </w:r>
            <w:r>
              <w:rPr>
                <w:rFonts w:ascii="游明朝" w:hAnsi="游明朝"/>
                <w:b w:val="0"/>
                <w:sz w:val="21"/>
                <w:rFonts w:eastAsia="游明朝"/>
              </w:rPr>
              <w:t>ConPass開発専用の個別契約（請負型）を締結する。成果物の明細・仕様書・納入期限・検収基準を明確に規定すること。</w:t>
            </w:r>
          </w:p>
        </w:tc>
      </w:tr>
    </w:tbl>
    <w:p>
      <w:pPr>
        <w:spacing w:after="40"/>
      </w:pPr>
    </w:p>
    <w:p>
      <w:pPr>
        <w:spacing w:before="240" w:after="120"/>
      </w:pPr>
      <w:r>
        <w:rPr>
          <w:rFonts w:ascii="游ゴシック" w:hAnsi="游ゴシック"/>
          <w:b/>
          <w:color w:val="00467F"/>
          <w:sz w:val="26"/>
          <w:rFonts w:eastAsia="游ゴシック"/>
        </w:rPr>
        <w:t>第13条（特許権等）— 🔴 RED</w:t>
      </w:r>
    </w:p>
    <w:p>
      <w:pPr>
        <w:spacing w:before="200" w:after="40"/>
      </w:pPr>
      <w:r>
        <w:rPr>
          <w:rFonts w:ascii="游ゴシック" w:hAnsi="游ゴシック"/>
          <w:b/>
          <w:color w:val="003366"/>
          <w:sz w:val="22"/>
          <w:rFonts w:eastAsia="游ゴシック"/>
        </w:rPr>
        <w:t xml:space="preserve">  </w:t>
      </w:r>
      <w:r>
        <w:rPr>
          <w:rFonts w:ascii="游ゴシック" w:hAnsi="游ゴシック"/>
          <w:b/>
          <w:color w:val="C00000"/>
          <w:sz w:val="21"/>
          <w:rFonts w:eastAsia="游ゴシック"/>
        </w:rPr>
        <w:t>🔴 RED</w:t>
      </w:r>
    </w:p>
    <w:tbl>
      <w:tblPr>
        <w:tblStyle w:val="TableGrid"/>
        <w:tblW w:type="auto" w:w="0"/>
        <w:tblLook w:firstColumn="1" w:firstRow="1" w:lastColumn="0" w:lastRow="0" w:noHBand="0" w:noVBand="1" w:val="04A0"/>
      </w:tblPr>
      <w:tblGrid>
        <w:gridCol w:w="9406"/>
      </w:tblGrid>
      <w:tr>
        <w:tc>
          <w:tcPr>
            <w:tcW w:type="dxa" w:w="8640"/>
            <w:shd w:val="clear" w:color="auto" w:fill="FFF2F2"/>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C00000"/>
                <w:sz w:val="21"/>
                <w:rFonts w:eastAsia="游明朝"/>
              </w:rPr>
              <w:t xml:space="preserve">契約の記載：  </w:t>
            </w:r>
            <w:r>
              <w:rPr>
                <w:rFonts w:ascii="游明朝" w:hAnsi="游明朝"/>
                <w:b w:val="0"/>
                <w:sz w:val="21"/>
                <w:rFonts w:eastAsia="游明朝"/>
              </w:rPr>
              <w:t>「本件業務を遂行する過程で行った発明等から生じた特許権等は、当該発明等を行った者が属する当事者に帰属する」（第1項）</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FF2F2"/>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C00000"/>
                <w:sz w:val="21"/>
                <w:rFonts w:eastAsia="游明朝"/>
              </w:rPr>
              <w:t xml:space="preserve">標準的な顧客ポジション：  </w:t>
            </w:r>
            <w:r>
              <w:rPr>
                <w:rFonts w:ascii="游明朝" w:hAnsi="游明朝"/>
                <w:b w:val="0"/>
                <w:sz w:val="21"/>
                <w:rFonts w:eastAsia="游明朝"/>
              </w:rPr>
              <w:t>委託開発で生じたIPは原則として発注者（顧客）に帰属させるべき</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FF2F2"/>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C00000"/>
                <w:sz w:val="21"/>
                <w:rFonts w:eastAsia="游明朝"/>
              </w:rPr>
              <w:t xml:space="preserve">問題点：  </w:t>
            </w:r>
            <w:r>
              <w:rPr>
                <w:rFonts w:ascii="游明朝" w:hAnsi="游明朝"/>
                <w:b w:val="0"/>
                <w:sz w:val="21"/>
                <w:rFonts w:eastAsia="游明朝"/>
              </w:rPr>
              <w:t>ConPass開発の過程でLIG（またはBrain Station 23）のエンジニアが発明した技術はLIGに帰属する。LIGから甲への許諾は「通常実施権」に留まり、LIGが同じ技術を他社にも使用・許諾できる。対価が「別途協議」で未定のため後々コスト上乗せリスクあり。</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FF2F2"/>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C00000"/>
                <w:sz w:val="21"/>
                <w:rFonts w:eastAsia="游明朝"/>
              </w:rPr>
              <w:t xml:space="preserve">ビジネスインパクト：  </w:t>
            </w:r>
            <w:r>
              <w:rPr>
                <w:rFonts w:ascii="游明朝" w:hAnsi="游明朝"/>
                <w:b w:val="0"/>
                <w:sz w:val="21"/>
                <w:rFonts w:eastAsia="游明朝"/>
              </w:rPr>
              <w:t>ConPassの核心的な技術がLIGに帰属し、競合他社に展開されるリスク。</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FF2F2"/>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C00000"/>
                <w:sz w:val="21"/>
                <w:rFonts w:eastAsia="游明朝"/>
              </w:rPr>
              <w:t xml:space="preserve">レッドライン提案：  </w:t>
            </w:r>
            <w:r>
              <w:rPr>
                <w:rFonts w:ascii="游明朝" w:hAnsi="游明朝"/>
                <w:b w:val="0"/>
                <w:sz w:val="21"/>
                <w:rFonts w:eastAsia="游明朝"/>
              </w:rPr>
              <w:t>「本件業務を遂行する過程で生じた特許権等は、甲乙共有とするが、甲は専用実施権を有し、乙は甲の事前書面承諾なしに当該特許権等を自ら実施し、または第三者に実施許諾することができない。なお、甲の書面承諾がある場合の対価は別途協議による。」</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FF2F2"/>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C00000"/>
                <w:sz w:val="21"/>
                <w:rFonts w:eastAsia="游明朝"/>
              </w:rPr>
              <w:t xml:space="preserve">優先度：  </w:t>
            </w:r>
            <w:r>
              <w:rPr>
                <w:rFonts w:ascii="游明朝" w:hAnsi="游明朝"/>
                <w:b w:val="0"/>
                <w:sz w:val="21"/>
                <w:rFonts w:eastAsia="游明朝"/>
              </w:rPr>
              <w:t>Must-have（ConPass開発の価値保護に直結）</w:t>
            </w:r>
          </w:p>
        </w:tc>
      </w:tr>
    </w:tbl>
    <w:p>
      <w:pPr>
        <w:spacing w:after="40"/>
      </w:pPr>
    </w:p>
    <w:p>
      <w:pPr>
        <w:spacing w:before="240" w:after="120"/>
      </w:pPr>
      <w:r>
        <w:rPr>
          <w:rFonts w:ascii="游ゴシック" w:hAnsi="游ゴシック"/>
          <w:b/>
          <w:color w:val="00467F"/>
          <w:sz w:val="26"/>
          <w:rFonts w:eastAsia="游ゴシック"/>
        </w:rPr>
        <w:t>第5条 SLA個別契約（再委託 — Brain Station 23）— 🔴 RED</w:t>
      </w:r>
    </w:p>
    <w:p>
      <w:pPr>
        <w:spacing w:before="200" w:after="40"/>
      </w:pPr>
      <w:r>
        <w:rPr>
          <w:rFonts w:ascii="游ゴシック" w:hAnsi="游ゴシック"/>
          <w:b/>
          <w:color w:val="003366"/>
          <w:sz w:val="22"/>
          <w:rFonts w:eastAsia="游ゴシック"/>
        </w:rPr>
        <w:t xml:space="preserve">  </w:t>
      </w:r>
      <w:r>
        <w:rPr>
          <w:rFonts w:ascii="游ゴシック" w:hAnsi="游ゴシック"/>
          <w:b/>
          <w:color w:val="C00000"/>
          <w:sz w:val="21"/>
          <w:rFonts w:eastAsia="游ゴシック"/>
        </w:rPr>
        <w:t>🔴 RED</w:t>
      </w:r>
    </w:p>
    <w:tbl>
      <w:tblPr>
        <w:tblStyle w:val="TableGrid"/>
        <w:tblW w:type="auto" w:w="0"/>
        <w:tblLook w:firstColumn="1" w:firstRow="1" w:lastColumn="0" w:lastRow="0" w:noHBand="0" w:noVBand="1" w:val="04A0"/>
      </w:tblPr>
      <w:tblGrid>
        <w:gridCol w:w="9406"/>
      </w:tblGrid>
      <w:tr>
        <w:tc>
          <w:tcPr>
            <w:tcW w:type="dxa" w:w="8640"/>
            <w:shd w:val="clear" w:color="auto" w:fill="FFF2F2"/>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C00000"/>
                <w:sz w:val="21"/>
                <w:rFonts w:eastAsia="游明朝"/>
              </w:rPr>
              <w:t xml:space="preserve">契約の記載：  </w:t>
            </w:r>
            <w:r>
              <w:rPr>
                <w:rFonts w:ascii="游明朝" w:hAnsi="游明朝"/>
                <w:b w:val="0"/>
                <w:sz w:val="21"/>
                <w:rFonts w:eastAsia="游明朝"/>
              </w:rPr>
              <w:t>甲はBrain Station 23（バングラデシュ・ダッカ）への再委託をあらかじめ了承</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FF2F2"/>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C00000"/>
                <w:sz w:val="21"/>
                <w:rFonts w:eastAsia="游明朝"/>
              </w:rPr>
              <w:t xml:space="preserve">問題点：  </w:t>
            </w:r>
            <w:r>
              <w:rPr>
                <w:rFonts w:ascii="游明朝" w:hAnsi="游明朝"/>
                <w:b w:val="0"/>
                <w:sz w:val="21"/>
                <w:rFonts w:eastAsia="游明朝"/>
              </w:rPr>
              <w:t>(1) Brain Station 23の情報セキュリティ認証（ISO 27001等）の確認がない。(2) 個人情報保護法上の国外第三者提供への同意根拠が不明確（第18条との整合性）。(3) バングラデシュには日本の個人情報保護法と同等の保護制度がない。(4) Brain Station 23に対する監査権が規定されていない。</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FF2F2"/>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C00000"/>
                <w:sz w:val="21"/>
                <w:rFonts w:eastAsia="游明朝"/>
              </w:rPr>
              <w:t xml:space="preserve">ビジネスインパクト：  </w:t>
            </w:r>
            <w:r>
              <w:rPr>
                <w:rFonts w:ascii="游明朝" w:hAnsi="游明朝"/>
                <w:b w:val="0"/>
                <w:sz w:val="21"/>
                <w:rFonts w:eastAsia="游明朝"/>
              </w:rPr>
              <w:t>ConPassに個人情報が含まれる場合、法令違反リスク・情報漏洩リスクが高まります。</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FF2F2"/>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C00000"/>
                <w:sz w:val="21"/>
                <w:rFonts w:eastAsia="游明朝"/>
              </w:rPr>
              <w:t xml:space="preserve">レッドライン提案：  </w:t>
            </w:r>
            <w:r>
              <w:rPr>
                <w:rFonts w:ascii="游明朝" w:hAnsi="游明朝"/>
                <w:b w:val="0"/>
                <w:sz w:val="21"/>
                <w:rFonts w:eastAsia="游明朝"/>
              </w:rPr>
              <w:t>「第5条に基づく再委託先（Brain Station 23）に対し、甲は以下の権利を留保する：(1)情報セキュリティ体制の書面確認を求める権利、(2)個人情報の取扱いに関する監査権、(3)再委託先が本契約と同等の秘密保持・個人情報保護義務を負うことの書面確認を要求する権利」</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FF2F2"/>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C00000"/>
                <w:sz w:val="21"/>
                <w:rFonts w:eastAsia="游明朝"/>
              </w:rPr>
              <w:t xml:space="preserve">優先度：  </w:t>
            </w:r>
            <w:r>
              <w:rPr>
                <w:rFonts w:ascii="游明朝" w:hAnsi="游明朝"/>
                <w:b w:val="0"/>
                <w:sz w:val="21"/>
                <w:rFonts w:eastAsia="游明朝"/>
              </w:rPr>
              <w:t>Must-have</w:t>
            </w:r>
          </w:p>
        </w:tc>
      </w:tr>
    </w:tbl>
    <w:p>
      <w:pPr>
        <w:spacing w:after="40"/>
      </w:pPr>
    </w:p>
    <w:p>
      <w:pPr>
        <w:spacing w:before="240" w:after="120"/>
      </w:pPr>
      <w:r>
        <w:rPr>
          <w:rFonts w:ascii="游ゴシック" w:hAnsi="游ゴシック"/>
          <w:b/>
          <w:color w:val="00467F"/>
          <w:sz w:val="26"/>
          <w:rFonts w:eastAsia="游ゴシック"/>
        </w:rPr>
        <w:t>第4条 SLA個別契約（対応時間・SLAペナルティ）— 🔴 RED</w:t>
      </w:r>
    </w:p>
    <w:p>
      <w:pPr>
        <w:spacing w:before="200" w:after="40"/>
      </w:pPr>
      <w:r>
        <w:rPr>
          <w:rFonts w:ascii="游ゴシック" w:hAnsi="游ゴシック"/>
          <w:b/>
          <w:color w:val="003366"/>
          <w:sz w:val="22"/>
          <w:rFonts w:eastAsia="游ゴシック"/>
        </w:rPr>
        <w:t xml:space="preserve">  </w:t>
      </w:r>
      <w:r>
        <w:rPr>
          <w:rFonts w:ascii="游ゴシック" w:hAnsi="游ゴシック"/>
          <w:b/>
          <w:color w:val="C00000"/>
          <w:sz w:val="21"/>
          <w:rFonts w:eastAsia="游ゴシック"/>
        </w:rPr>
        <w:t>🔴 RED</w:t>
      </w:r>
    </w:p>
    <w:tbl>
      <w:tblPr>
        <w:tblStyle w:val="TableGrid"/>
        <w:tblW w:type="auto" w:w="0"/>
        <w:tblLook w:firstColumn="1" w:firstRow="1" w:lastColumn="0" w:lastRow="0" w:noHBand="0" w:noVBand="1" w:val="04A0"/>
      </w:tblPr>
      <w:tblGrid>
        <w:gridCol w:w="9406"/>
      </w:tblGrid>
      <w:tr>
        <w:tc>
          <w:tcPr>
            <w:tcW w:type="dxa" w:w="8640"/>
            <w:shd w:val="clear" w:color="auto" w:fill="FFF2F2"/>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C00000"/>
                <w:sz w:val="21"/>
                <w:rFonts w:eastAsia="游明朝"/>
              </w:rPr>
              <w:t xml:space="preserve">契約の記載：  </w:t>
            </w:r>
            <w:r>
              <w:rPr>
                <w:rFonts w:ascii="游明朝" w:hAnsi="游明朝"/>
                <w:b w:val="0"/>
                <w:sz w:val="21"/>
                <w:rFonts w:eastAsia="游明朝"/>
              </w:rPr>
              <w:t>インシデント優先度に応じた初動・解決目標時間が設定されているが、未達時の措置が一切規定されていない。</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FF2F2"/>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C00000"/>
                <w:sz w:val="21"/>
                <w:rFonts w:eastAsia="游明朝"/>
              </w:rPr>
              <w:t xml:space="preserve">標準的な顧客ポジション：  </w:t>
            </w:r>
            <w:r>
              <w:rPr>
                <w:rFonts w:ascii="游明朝" w:hAnsi="游明朝"/>
                <w:b w:val="0"/>
                <w:sz w:val="21"/>
                <w:rFonts w:eastAsia="游明朝"/>
              </w:rPr>
              <w:t>SLA未達の場合、月額料金のX%をサービスクレジットとして控除</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FF2F2"/>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C00000"/>
                <w:sz w:val="21"/>
                <w:rFonts w:eastAsia="游明朝"/>
              </w:rPr>
              <w:t xml:space="preserve">ビジネスインパクト：  </w:t>
            </w:r>
            <w:r>
              <w:rPr>
                <w:rFonts w:ascii="游明朝" w:hAnsi="游明朝"/>
                <w:b w:val="0"/>
                <w:sz w:val="21"/>
                <w:rFonts w:eastAsia="游明朝"/>
              </w:rPr>
              <w:t>LIGがSLA目標を達成しなくても、契約上の制裁がなく、甲は満額を支払い続ける。</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FF2F2"/>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C00000"/>
                <w:sz w:val="21"/>
                <w:rFonts w:eastAsia="游明朝"/>
              </w:rPr>
              <w:t xml:space="preserve">レッドライン提案：  </w:t>
            </w:r>
            <w:r>
              <w:rPr>
                <w:rFonts w:ascii="游明朝" w:hAnsi="游明朝"/>
                <w:b w:val="0"/>
                <w:sz w:val="21"/>
                <w:rFonts w:eastAsia="游明朝"/>
              </w:rPr>
              <w:t>「第4条に定める対応時間の目標値を達成できなかった場合、乙は当月分月額報酬の以下の割合に相当する額を甲に対して減額するものとする：緊急・高優先度の未達：月額の20%、中・低優先度の未達：月額の10%。ただし、不可抗力による未達を除く。」</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FF2F2"/>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C00000"/>
                <w:sz w:val="21"/>
                <w:rFonts w:eastAsia="游明朝"/>
              </w:rPr>
              <w:t xml:space="preserve">優先度：  </w:t>
            </w:r>
            <w:r>
              <w:rPr>
                <w:rFonts w:ascii="游明朝" w:hAnsi="游明朝"/>
                <w:b w:val="0"/>
                <w:sz w:val="21"/>
                <w:rFonts w:eastAsia="游明朝"/>
              </w:rPr>
              <w:t>Must-have</w:t>
            </w:r>
          </w:p>
        </w:tc>
      </w:tr>
    </w:tbl>
    <w:p>
      <w:pPr>
        <w:spacing w:after="40"/>
      </w:pPr>
    </w:p>
    <w:p>
      <w:pPr>
        <w:spacing w:before="240" w:after="120"/>
      </w:pPr>
      <w:r>
        <w:rPr>
          <w:rFonts w:ascii="游ゴシック" w:hAnsi="游ゴシック"/>
          <w:b/>
          <w:color w:val="00467F"/>
          <w:sz w:val="26"/>
          <w:rFonts w:eastAsia="游ゴシック"/>
        </w:rPr>
        <w:t>第25条（損害賠償の上限）— 🟡 YELLOW</w:t>
      </w:r>
    </w:p>
    <w:p>
      <w:pPr>
        <w:spacing w:before="200" w:after="40"/>
      </w:pPr>
      <w:r>
        <w:rPr>
          <w:rFonts w:ascii="游ゴシック" w:hAnsi="游ゴシック"/>
          <w:b/>
          <w:color w:val="003366"/>
          <w:sz w:val="22"/>
          <w:rFonts w:eastAsia="游ゴシック"/>
        </w:rPr>
        <w:t xml:space="preserve">  </w:t>
      </w:r>
      <w:r>
        <w:rPr>
          <w:rFonts w:ascii="游ゴシック" w:hAnsi="游ゴシック"/>
          <w:b/>
          <w:color w:val="BF8F00"/>
          <w:sz w:val="21"/>
          <w:rFonts w:eastAsia="游ゴシック"/>
        </w:rPr>
        <w:t>🟡 YELLOW</w:t>
      </w:r>
    </w:p>
    <w:tbl>
      <w:tblPr>
        <w:tblStyle w:val="TableGrid"/>
        <w:tblW w:type="auto" w:w="0"/>
        <w:tblLook w:firstColumn="1" w:firstRow="1" w:lastColumn="0" w:lastRow="0" w:noHBand="0" w:noVBand="1" w:val="04A0"/>
      </w:tblPr>
      <w:tblGrid>
        <w:gridCol w:w="9406"/>
      </w:tblGrid>
      <w:tr>
        <w:tc>
          <w:tcPr>
            <w:tcW w:type="dxa" w:w="8640"/>
            <w:shd w:val="clear" w:color="auto" w:fill="FFFBF0"/>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BF8F00"/>
                <w:sz w:val="21"/>
                <w:rFonts w:eastAsia="游明朝"/>
              </w:rPr>
              <w:t xml:space="preserve">契約の記載：  </w:t>
            </w:r>
            <w:r>
              <w:rPr>
                <w:rFonts w:ascii="游明朝" w:hAnsi="游明朝"/>
                <w:b w:val="0"/>
                <w:sz w:val="21"/>
                <w:rFonts w:eastAsia="游明朝"/>
              </w:rPr>
              <w:t>「乙が甲に対して損害賠償責任を負う場合の累積総額は、実際に支払った業務委託料の合計相当額を限度とする」（秘密保持・個人情報違反には上限なし）</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FFBF0"/>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BF8F00"/>
                <w:sz w:val="21"/>
                <w:rFonts w:eastAsia="游明朝"/>
              </w:rPr>
              <w:t xml:space="preserve">問題点：  </w:t>
            </w:r>
            <w:r>
              <w:rPr>
                <w:rFonts w:ascii="游明朝" w:hAnsi="游明朝"/>
                <w:b w:val="0"/>
                <w:sz w:val="21"/>
                <w:rFonts w:eastAsia="游明朝"/>
              </w:rPr>
              <w:t>SLAは月10万円×12ヶ月＝年間120万円が上限。ConPass開発の規模によっては、システム障害時の実損額をはるかに下回る可能性あり。</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FFBF0"/>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BF8F00"/>
                <w:sz w:val="21"/>
                <w:rFonts w:eastAsia="游明朝"/>
              </w:rPr>
              <w:t xml:space="preserve">フォールバック案：  </w:t>
            </w:r>
            <w:r>
              <w:rPr>
                <w:rFonts w:ascii="游明朝" w:hAnsi="游明朝"/>
                <w:b w:val="0"/>
                <w:sz w:val="21"/>
                <w:rFonts w:eastAsia="游明朝"/>
              </w:rPr>
              <w:t>「個別契約の対価の12ヶ月分、または実損額のいずれか大きい額を限度とする」</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FFBF0"/>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BF8F00"/>
                <w:sz w:val="21"/>
                <w:rFonts w:eastAsia="游明朝"/>
              </w:rPr>
              <w:t xml:space="preserve">優先度：  </w:t>
            </w:r>
            <w:r>
              <w:rPr>
                <w:rFonts w:ascii="游明朝" w:hAnsi="游明朝"/>
                <w:b w:val="0"/>
                <w:sz w:val="21"/>
                <w:rFonts w:eastAsia="游明朝"/>
              </w:rPr>
              <w:t>Nice-to-have（取引規模・ConPassの重要性による）</w:t>
            </w:r>
          </w:p>
        </w:tc>
      </w:tr>
    </w:tbl>
    <w:p>
      <w:pPr>
        <w:spacing w:after="40"/>
      </w:pPr>
    </w:p>
    <w:p>
      <w:pPr>
        <w:spacing w:before="240" w:after="120"/>
      </w:pPr>
      <w:r>
        <w:rPr>
          <w:rFonts w:ascii="游ゴシック" w:hAnsi="游ゴシック"/>
          <w:b/>
          <w:color w:val="00467F"/>
          <w:sz w:val="26"/>
          <w:rFonts w:eastAsia="游ゴシック"/>
        </w:rPr>
        <w:t>第16条第3項（為替変動による追加請求）— 🟡 YELLOW</w:t>
      </w:r>
    </w:p>
    <w:p>
      <w:pPr>
        <w:spacing w:before="200" w:after="40"/>
      </w:pPr>
      <w:r>
        <w:rPr>
          <w:rFonts w:ascii="游ゴシック" w:hAnsi="游ゴシック"/>
          <w:b/>
          <w:color w:val="003366"/>
          <w:sz w:val="22"/>
          <w:rFonts w:eastAsia="游ゴシック"/>
        </w:rPr>
        <w:t xml:space="preserve">  </w:t>
      </w:r>
      <w:r>
        <w:rPr>
          <w:rFonts w:ascii="游ゴシック" w:hAnsi="游ゴシック"/>
          <w:b/>
          <w:color w:val="BF8F00"/>
          <w:sz w:val="21"/>
          <w:rFonts w:eastAsia="游ゴシック"/>
        </w:rPr>
        <w:t>🟡 YELLOW</w:t>
      </w:r>
    </w:p>
    <w:tbl>
      <w:tblPr>
        <w:tblStyle w:val="TableGrid"/>
        <w:tblW w:type="auto" w:w="0"/>
        <w:tblLook w:firstColumn="1" w:firstRow="1" w:lastColumn="0" w:lastRow="0" w:noHBand="0" w:noVBand="1" w:val="04A0"/>
      </w:tblPr>
      <w:tblGrid>
        <w:gridCol w:w="9406"/>
      </w:tblGrid>
      <w:tr>
        <w:tc>
          <w:tcPr>
            <w:tcW w:type="dxa" w:w="8640"/>
            <w:shd w:val="clear" w:color="auto" w:fill="FFFBF0"/>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BF8F00"/>
                <w:sz w:val="21"/>
                <w:rFonts w:eastAsia="游明朝"/>
              </w:rPr>
              <w:t xml:space="preserve">契約の記載：  </w:t>
            </w:r>
            <w:r>
              <w:rPr>
                <w:rFonts w:ascii="游明朝" w:hAnsi="游明朝"/>
                <w:b w:val="0"/>
                <w:sz w:val="21"/>
                <w:rFonts w:eastAsia="游明朝"/>
              </w:rPr>
              <w:t>「TTMレートが基準日から5%以上円安に変動した場合、乙は変動額を業務委託料に加算できる」</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FFBF0"/>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BF8F00"/>
                <w:sz w:val="21"/>
                <w:rFonts w:eastAsia="游明朝"/>
              </w:rPr>
              <w:t xml:space="preserve">問題点：  </w:t>
            </w:r>
            <w:r>
              <w:rPr>
                <w:rFonts w:ascii="游明朝" w:hAnsi="游明朝"/>
                <w:b w:val="0"/>
                <w:sz w:val="21"/>
                <w:rFonts w:eastAsia="游明朝"/>
              </w:rPr>
              <w:t>Brain Station 23への支払いに直接適用される可能性が高い。為替変動リスクが完全に甲（顧客）に転嫁。追加請求の上限（キャップ）の規定なし。</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FFBF0"/>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BF8F00"/>
                <w:sz w:val="21"/>
                <w:rFonts w:eastAsia="游明朝"/>
              </w:rPr>
              <w:t xml:space="preserve">レッドライン提案：  </w:t>
            </w:r>
            <w:r>
              <w:rPr>
                <w:rFonts w:ascii="游明朝" w:hAnsi="游明朝"/>
                <w:b w:val="0"/>
                <w:sz w:val="21"/>
                <w:rFonts w:eastAsia="游明朝"/>
              </w:rPr>
              <w:t>「追加請求できる為替変動分の上限は、当該月の月額報酬の20%を上限とする。また、円高に振れた場合は乙は甲に同様の方法で差額を還元するものとする。」</w:t>
            </w:r>
          </w:p>
        </w:tc>
      </w:tr>
    </w:tbl>
    <w:p>
      <w:pPr>
        <w:spacing w:after="40"/>
      </w:pPr>
    </w:p>
    <w:p>
      <w:pPr>
        <w:spacing w:before="240" w:after="120"/>
      </w:pPr>
      <w:r>
        <w:rPr>
          <w:rFonts w:ascii="游ゴシック" w:hAnsi="游ゴシック"/>
          <w:b/>
          <w:color w:val="00467F"/>
          <w:sz w:val="26"/>
          <w:rFonts w:eastAsia="游ゴシック"/>
        </w:rPr>
        <w:t>第20条（契約不適合責任の通知期限）— 🟡 YELLOW</w:t>
      </w:r>
    </w:p>
    <w:p>
      <w:pPr>
        <w:spacing w:before="200" w:after="40"/>
      </w:pPr>
      <w:r>
        <w:rPr>
          <w:rFonts w:ascii="游ゴシック" w:hAnsi="游ゴシック"/>
          <w:b/>
          <w:color w:val="003366"/>
          <w:sz w:val="22"/>
          <w:rFonts w:eastAsia="游ゴシック"/>
        </w:rPr>
        <w:t xml:space="preserve">  </w:t>
      </w:r>
      <w:r>
        <w:rPr>
          <w:rFonts w:ascii="游ゴシック" w:hAnsi="游ゴシック"/>
          <w:b/>
          <w:color w:val="BF8F00"/>
          <w:sz w:val="21"/>
          <w:rFonts w:eastAsia="游ゴシック"/>
        </w:rPr>
        <w:t>🟡 YELLOW</w:t>
      </w:r>
    </w:p>
    <w:tbl>
      <w:tblPr>
        <w:tblStyle w:val="TableGrid"/>
        <w:tblW w:type="auto" w:w="0"/>
        <w:tblLook w:firstColumn="1" w:firstRow="1" w:lastColumn="0" w:lastRow="0" w:noHBand="0" w:noVBand="1" w:val="04A0"/>
      </w:tblPr>
      <w:tblGrid>
        <w:gridCol w:w="9406"/>
      </w:tblGrid>
      <w:tr>
        <w:tc>
          <w:tcPr>
            <w:tcW w:type="dxa" w:w="8640"/>
            <w:shd w:val="clear" w:color="auto" w:fill="FFFBF0"/>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BF8F00"/>
                <w:sz w:val="21"/>
                <w:rFonts w:eastAsia="游明朝"/>
              </w:rPr>
              <w:t xml:space="preserve">契約の記載：  </w:t>
            </w:r>
            <w:r>
              <w:rPr>
                <w:rFonts w:ascii="游明朝" w:hAnsi="游明朝"/>
                <w:b w:val="0"/>
                <w:sz w:val="21"/>
                <w:rFonts w:eastAsia="游明朝"/>
              </w:rPr>
              <w:t>「検収後1年以内に甲が契約不適合を乙に通知した場合に限る」</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FFBF0"/>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BF8F00"/>
                <w:sz w:val="21"/>
                <w:rFonts w:eastAsia="游明朝"/>
              </w:rPr>
              <w:t xml:space="preserve">問題点：  </w:t>
            </w:r>
            <w:r>
              <w:rPr>
                <w:rFonts w:ascii="游明朝" w:hAnsi="游明朝"/>
                <w:b w:val="0"/>
                <w:sz w:val="21"/>
                <w:rFonts w:eastAsia="游明朝"/>
              </w:rPr>
              <w:t>ソフトウェア開発では、本番稼働後に潜在的な不具合が顕在化するケースが多く、1年では短い場合がある。</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FFBF0"/>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BF8F00"/>
                <w:sz w:val="21"/>
                <w:rFonts w:eastAsia="游明朝"/>
              </w:rPr>
              <w:t xml:space="preserve">レッドライン提案：  </w:t>
            </w:r>
            <w:r>
              <w:rPr>
                <w:rFonts w:ascii="游明朝" w:hAnsi="游明朝"/>
                <w:b w:val="0"/>
                <w:sz w:val="21"/>
                <w:rFonts w:eastAsia="游明朝"/>
              </w:rPr>
              <w:t>「検収後2年以内」に変更を求める。</w:t>
            </w:r>
          </w:p>
        </w:tc>
      </w:tr>
    </w:tbl>
    <w:p>
      <w:pPr>
        <w:spacing w:after="40"/>
      </w:pPr>
    </w:p>
    <w:p>
      <w:pPr>
        <w:spacing w:before="240" w:after="120"/>
      </w:pPr>
      <w:r>
        <w:rPr>
          <w:rFonts w:ascii="游ゴシック" w:hAnsi="游ゴシック"/>
          <w:b/>
          <w:color w:val="00467F"/>
          <w:sz w:val="26"/>
          <w:rFonts w:eastAsia="游ゴシック"/>
        </w:rPr>
        <w:t>第17条（秘密情報の定義）— 🟡 YELLOW</w:t>
      </w:r>
    </w:p>
    <w:p>
      <w:pPr>
        <w:spacing w:before="200" w:after="40"/>
      </w:pPr>
      <w:r>
        <w:rPr>
          <w:rFonts w:ascii="游ゴシック" w:hAnsi="游ゴシック"/>
          <w:b/>
          <w:color w:val="003366"/>
          <w:sz w:val="22"/>
          <w:rFonts w:eastAsia="游ゴシック"/>
        </w:rPr>
        <w:t xml:space="preserve">  </w:t>
      </w:r>
      <w:r>
        <w:rPr>
          <w:rFonts w:ascii="游ゴシック" w:hAnsi="游ゴシック"/>
          <w:b/>
          <w:color w:val="BF8F00"/>
          <w:sz w:val="21"/>
          <w:rFonts w:eastAsia="游ゴシック"/>
        </w:rPr>
        <w:t>🟡 YELLOW</w:t>
      </w:r>
    </w:p>
    <w:tbl>
      <w:tblPr>
        <w:tblStyle w:val="TableGrid"/>
        <w:tblW w:type="auto" w:w="0"/>
        <w:tblLook w:firstColumn="1" w:firstRow="1" w:lastColumn="0" w:lastRow="0" w:noHBand="0" w:noVBand="1" w:val="04A0"/>
      </w:tblPr>
      <w:tblGrid>
        <w:gridCol w:w="9406"/>
      </w:tblGrid>
      <w:tr>
        <w:tc>
          <w:tcPr>
            <w:tcW w:type="dxa" w:w="8640"/>
            <w:shd w:val="clear" w:color="auto" w:fill="FFFBF0"/>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BF8F00"/>
                <w:sz w:val="21"/>
                <w:rFonts w:eastAsia="游明朝"/>
              </w:rPr>
              <w:t xml:space="preserve">契約の記載：  </w:t>
            </w:r>
            <w:r>
              <w:rPr>
                <w:rFonts w:ascii="游明朝" w:hAnsi="游明朝"/>
                <w:b w:val="0"/>
                <w:sz w:val="21"/>
                <w:rFonts w:eastAsia="游明朝"/>
              </w:rPr>
              <w:t>口頭で秘密と示して開示した情報は、「開示後7日以内に書面で内容を特定」しないと秘密情報から除外される。</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FFBF0"/>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BF8F00"/>
                <w:sz w:val="21"/>
                <w:rFonts w:eastAsia="游明朝"/>
              </w:rPr>
              <w:t xml:space="preserve">問題点：  </w:t>
            </w:r>
            <w:r>
              <w:rPr>
                <w:rFonts w:ascii="游明朝" w:hAnsi="游明朝"/>
                <w:b w:val="0"/>
                <w:sz w:val="21"/>
                <w:rFonts w:eastAsia="游明朝"/>
              </w:rPr>
              <w:t>会議や日常業務での口頭コミュニケーションが多いIT開発では、7日以内の書面化の管理負担が大きく、書面化漏れで保護が失われるリスクがある。</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FFBF0"/>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BF8F00"/>
                <w:sz w:val="21"/>
                <w:rFonts w:eastAsia="游明朝"/>
              </w:rPr>
              <w:t xml:space="preserve">レッドライン提案：  </w:t>
            </w:r>
            <w:r>
              <w:rPr>
                <w:rFonts w:ascii="游明朝" w:hAnsi="游明朝"/>
                <w:b w:val="0"/>
                <w:sz w:val="21"/>
                <w:rFonts w:eastAsia="游明朝"/>
              </w:rPr>
              <w:t>「口頭開示後30日以内に書面で特定」に変更、または「IT開発に係る業務上の技術情報は書面指定なく秘密情報とみなす」旨を追加。</w:t>
            </w:r>
          </w:p>
        </w:tc>
      </w:tr>
    </w:tbl>
    <w:p>
      <w:pPr>
        <w:spacing w:after="40"/>
      </w:pPr>
    </w:p>
    <w:p>
      <w:pPr>
        <w:spacing w:before="240" w:after="120"/>
      </w:pPr>
      <w:r>
        <w:rPr>
          <w:rFonts w:ascii="游ゴシック" w:hAnsi="游ゴシック"/>
          <w:b/>
          <w:color w:val="00467F"/>
          <w:sz w:val="26"/>
          <w:rFonts w:eastAsia="游ゴシック"/>
        </w:rPr>
        <w:t>第14条（著作権）— 🟢 GREEN</w:t>
      </w:r>
    </w:p>
    <w:p>
      <w:pPr>
        <w:spacing w:before="200" w:after="40"/>
      </w:pPr>
      <w:r>
        <w:rPr>
          <w:rFonts w:ascii="游ゴシック" w:hAnsi="游ゴシック"/>
          <w:b/>
          <w:color w:val="003366"/>
          <w:sz w:val="22"/>
          <w:rFonts w:eastAsia="游ゴシック"/>
        </w:rPr>
        <w:t xml:space="preserve">  </w:t>
      </w:r>
      <w:r>
        <w:rPr>
          <w:rFonts w:ascii="游ゴシック" w:hAnsi="游ゴシック"/>
          <w:b/>
          <w:color w:val="376C31"/>
          <w:sz w:val="21"/>
          <w:rFonts w:eastAsia="游ゴシック"/>
        </w:rPr>
        <w:t>🟢 GREEN</w:t>
      </w:r>
    </w:p>
    <w:tbl>
      <w:tblPr>
        <w:tblStyle w:val="TableGrid"/>
        <w:tblW w:type="auto" w:w="0"/>
        <w:tblLook w:firstColumn="1" w:firstRow="1" w:lastColumn="0" w:lastRow="0" w:noHBand="0" w:noVBand="1" w:val="04A0"/>
      </w:tblPr>
      <w:tblGrid>
        <w:gridCol w:w="9406"/>
      </w:tblGrid>
      <w:tr>
        <w:tc>
          <w:tcPr>
            <w:tcW w:type="dxa" w:w="8640"/>
            <w:shd w:val="clear" w:color="auto" w:fill="F2FFF2"/>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376C31"/>
                <w:sz w:val="21"/>
                <w:rFonts w:eastAsia="游明朝"/>
              </w:rPr>
              <w:t xml:space="preserve">契約の記載：  </w:t>
            </w:r>
            <w:r>
              <w:rPr>
                <w:rFonts w:ascii="游明朝" w:hAnsi="游明朝"/>
                <w:b w:val="0"/>
                <w:sz w:val="21"/>
                <w:rFonts w:eastAsia="游明朝"/>
              </w:rPr>
              <w:t>著作権は検収完了時に乙から甲に移転。乙の従前保有著作物は実施許諾。</w:t>
            </w:r>
          </w:p>
        </w:tc>
      </w:tr>
    </w:tbl>
    <w:p>
      <w:pPr>
        <w:spacing w:after="40"/>
      </w:pPr>
    </w:p>
    <w:tbl>
      <w:tblPr>
        <w:tblStyle w:val="TableGrid"/>
        <w:tblW w:type="auto" w:w="0"/>
        <w:tblLook w:firstColumn="1" w:firstRow="1" w:lastColumn="0" w:lastRow="0" w:noHBand="0" w:noVBand="1" w:val="04A0"/>
      </w:tblPr>
      <w:tblGrid>
        <w:gridCol w:w="9406"/>
      </w:tblGrid>
      <w:tr>
        <w:tc>
          <w:tcPr>
            <w:tcW w:type="dxa" w:w="8640"/>
            <w:shd w:val="clear" w:color="auto" w:fill="F2FFF2"/>
            <w:tcBorders>
              <w:top w:val="single" w:sz="4" w:space="0" w:color="CCCCCC"/>
              <w:left w:val="single" w:sz="4" w:space="0" w:color="CCCCCC"/>
              <w:bottom w:val="single" w:sz="4" w:space="0" w:color="CCCCCC"/>
              <w:right w:val="single" w:sz="4" w:space="0" w:color="CCCCCC"/>
            </w:tcBorders>
          </w:tcPr>
          <w:p>
            <w:pPr>
              <w:spacing w:after="40" w:before="40"/>
            </w:pPr>
            <w:r>
              <w:rPr>
                <w:rFonts w:ascii="游明朝" w:hAnsi="游明朝"/>
                <w:b/>
                <w:color w:val="376C31"/>
                <w:sz w:val="21"/>
                <w:rFonts w:eastAsia="游明朝"/>
              </w:rPr>
              <w:t xml:space="preserve">評価：  </w:t>
            </w:r>
            <w:r>
              <w:rPr>
                <w:rFonts w:ascii="游明朝" w:hAnsi="游明朝"/>
                <w:b w:val="0"/>
                <w:sz w:val="21"/>
                <w:rFonts w:eastAsia="游明朝"/>
              </w:rPr>
              <w:t>顧客（甲）に有利な規定。ConPassの著作権は甲に帰属します。ConPass開発の個別契約でも同様の規定を確認してください。</w:t>
            </w:r>
          </w:p>
        </w:tc>
      </w:tr>
    </w:tbl>
    <w:p>
      <w:pPr>
        <w:spacing w:after="40"/>
      </w:pPr>
    </w:p>
    <w:p>
      <w:pPr>
        <w:spacing w:before="240" w:after="120"/>
        <w:pBdr>
          <w:bottom w:val="single" w:sz="6" w:space="4" w:color="003366"/>
        </w:pBdr>
      </w:pPr>
      <w:r>
        <w:rPr>
          <w:rFonts w:ascii="游ゴシック" w:hAnsi="游ゴシック"/>
          <w:b/>
          <w:color w:val="003366"/>
          <w:sz w:val="32"/>
          <w:rFonts w:eastAsia="游ゴシック"/>
        </w:rPr>
        <w:t>交渉戦略</w:t>
      </w:r>
    </w:p>
    <w:p>
      <w:pPr>
        <w:spacing w:before="240" w:after="120"/>
      </w:pPr>
      <w:r>
        <w:rPr>
          <w:rFonts w:ascii="游ゴシック" w:hAnsi="游ゴシック"/>
          <w:b/>
          <w:color w:val="00467F"/>
          <w:sz w:val="26"/>
          <w:rFonts w:eastAsia="游ゴシック"/>
        </w:rPr>
        <w:t>優先度別交渉事項</w:t>
      </w:r>
    </w:p>
    <w:tbl>
      <w:tblPr>
        <w:tblStyle w:val="TableGrid"/>
        <w:tblW w:type="auto" w:w="0"/>
        <w:tblLook w:firstColumn="1" w:firstRow="1" w:lastColumn="0" w:lastRow="0" w:noHBand="0" w:noVBand="1" w:val="04A0"/>
      </w:tblPr>
      <w:tblGrid>
        <w:gridCol w:w="4703"/>
        <w:gridCol w:w="4703"/>
      </w:tblGrid>
      <w:tr>
        <w:tc>
          <w:tcPr>
            <w:tcW w:type="dxa" w:w="4703"/>
            <w:shd w:val="clear" w:color="auto" w:fill="FFF2F2"/>
          </w:tcPr>
          <w:p>
            <w:r>
              <w:rPr>
                <w:rFonts w:ascii="游明朝" w:hAnsi="游明朝"/>
                <w:b/>
                <w:color w:val="C00000"/>
                <w:sz w:val="21"/>
                <w:rFonts w:eastAsia="游明朝"/>
              </w:rPr>
              <w:t>🔴 最優先</w:t>
              <w:br/>
              <w:t>（着手前に解決）</w:t>
            </w:r>
          </w:p>
        </w:tc>
        <w:tc>
          <w:tcPr>
            <w:tcW w:type="dxa" w:w="4703"/>
            <w:shd w:val="clear" w:color="auto" w:fill="F9F9F9"/>
          </w:tcPr>
          <w:p>
            <w:r>
              <w:rPr>
                <w:rFonts w:ascii="游明朝" w:hAnsi="游明朝"/>
                <w:b w:val="0"/>
                <w:sz w:val="21"/>
                <w:rFonts w:eastAsia="游明朝"/>
              </w:rPr>
              <w:t>① ConPass開発用・個別契約（請負型）の別途締結</w:t>
              <w:br/>
              <w:t>② 第13条（特許権帰属）の修正</w:t>
              <w:br/>
              <w:t>③ 再委託先のセキュリティ確認条項の追加</w:t>
            </w:r>
          </w:p>
        </w:tc>
      </w:tr>
      <w:tr>
        <w:tc>
          <w:tcPr>
            <w:tcW w:type="dxa" w:w="4703"/>
            <w:shd w:val="clear" w:color="auto" w:fill="FFF2F2"/>
          </w:tcPr>
          <w:p>
            <w:r>
              <w:rPr>
                <w:rFonts w:ascii="游明朝" w:hAnsi="游明朝"/>
                <w:b/>
                <w:color w:val="C00000"/>
                <w:sz w:val="21"/>
                <w:rFonts w:eastAsia="游明朝"/>
              </w:rPr>
              <w:t>🔴 同時並行で交渉</w:t>
            </w:r>
          </w:p>
        </w:tc>
        <w:tc>
          <w:tcPr>
            <w:tcW w:type="dxa" w:w="4703"/>
            <w:shd w:val="clear" w:color="auto" w:fill="F9F9F9"/>
          </w:tcPr>
          <w:p>
            <w:r>
              <w:rPr>
                <w:rFonts w:ascii="游明朝" w:hAnsi="游明朝"/>
                <w:b w:val="0"/>
                <w:sz w:val="21"/>
                <w:rFonts w:eastAsia="游明朝"/>
              </w:rPr>
              <w:t>④ SLAペナルティ条項の追加（第4条）</w:t>
              <w:br/>
              <w:t>⑤ 為替変動上限の設定（第16条）</w:t>
            </w:r>
          </w:p>
        </w:tc>
      </w:tr>
      <w:tr>
        <w:tc>
          <w:tcPr>
            <w:tcW w:type="dxa" w:w="4703"/>
            <w:shd w:val="clear" w:color="auto" w:fill="FFFBF0"/>
          </w:tcPr>
          <w:p>
            <w:r>
              <w:rPr>
                <w:rFonts w:ascii="游明朝" w:hAnsi="游明朝"/>
                <w:b/>
                <w:color w:val="BF8F00"/>
                <w:sz w:val="21"/>
                <w:rFonts w:eastAsia="游明朝"/>
              </w:rPr>
              <w:t>🟡 余裕があれば</w:t>
            </w:r>
          </w:p>
        </w:tc>
        <w:tc>
          <w:tcPr>
            <w:tcW w:type="dxa" w:w="4703"/>
            <w:shd w:val="clear" w:color="auto" w:fill="F9F9F9"/>
          </w:tcPr>
          <w:p>
            <w:r>
              <w:rPr>
                <w:rFonts w:ascii="游明朝" w:hAnsi="游明朝"/>
                <w:b w:val="0"/>
                <w:sz w:val="21"/>
                <w:rFonts w:eastAsia="游明朝"/>
              </w:rPr>
              <w:t>⑥ 損害賠償上限の引き上げ交渉（第25条）</w:t>
              <w:br/>
              <w:t>⑦ 契約不適合責任の通知期限延長（第20条 → 2年）</w:t>
              <w:br/>
              <w:t>⑧ 秘密情報の口頭開示書面化期限（7日 → 30日）</w:t>
            </w:r>
          </w:p>
        </w:tc>
      </w:tr>
      <w:tr>
        <w:tc>
          <w:tcPr>
            <w:tcW w:type="dxa" w:w="4703"/>
            <w:shd w:val="clear" w:color="auto" w:fill="F5F5F5"/>
          </w:tcPr>
          <w:p>
            <w:r>
              <w:rPr>
                <w:rFonts w:ascii="游明朝" w:hAnsi="游明朝"/>
                <w:b/>
                <w:color w:val="505050"/>
                <w:sz w:val="21"/>
                <w:rFonts w:eastAsia="游明朝"/>
              </w:rPr>
              <w:t>⚪ 譲歩候補</w:t>
            </w:r>
          </w:p>
        </w:tc>
        <w:tc>
          <w:tcPr>
            <w:tcW w:type="dxa" w:w="4703"/>
            <w:shd w:val="clear" w:color="auto" w:fill="F9F9F9"/>
          </w:tcPr>
          <w:p>
            <w:r>
              <w:rPr>
                <w:rFonts w:ascii="游明朝" w:hAnsi="游明朝"/>
                <w:b w:val="0"/>
                <w:sz w:val="21"/>
                <w:rFonts w:eastAsia="游明朝"/>
              </w:rPr>
              <w:t>• 損害賠償上限の具体的な金額（業界標準範囲内であれば受け入れ可）</w:t>
              <w:br/>
              <w:t>• 秘密情報の口頭開示書面化（7日→14日への妥協）</w:t>
            </w:r>
          </w:p>
        </w:tc>
      </w:tr>
    </w:tbl>
    <w:p>
      <w:pPr>
        <w:spacing w:after="80"/>
      </w:pPr>
    </w:p>
    <w:p>
      <w:pPr>
        <w:spacing w:before="240" w:after="120"/>
        <w:pBdr>
          <w:bottom w:val="single" w:sz="6" w:space="4" w:color="003366"/>
        </w:pBdr>
      </w:pPr>
      <w:r>
        <w:rPr>
          <w:rFonts w:ascii="游ゴシック" w:hAnsi="游ゴシック"/>
          <w:b/>
          <w:color w:val="003366"/>
          <w:sz w:val="32"/>
          <w:rFonts w:eastAsia="游ゴシック"/>
        </w:rPr>
        <w:t>次のアクション</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3366"/>
          </w:tcPr>
          <w:p>
            <w:r>
              <w:rPr>
                <w:rFonts w:ascii="游ゴシック" w:hAnsi="游ゴシック"/>
                <w:b/>
                <w:color w:val="FFFFFF"/>
                <w:sz w:val="21"/>
                <w:rFonts w:eastAsia="游ゴシック"/>
              </w:rPr>
              <w:t>優先度</w:t>
            </w:r>
          </w:p>
        </w:tc>
        <w:tc>
          <w:tcPr>
            <w:tcW w:type="dxa" w:w="3135"/>
            <w:shd w:val="clear" w:color="auto" w:fill="003366"/>
          </w:tcPr>
          <w:p>
            <w:r>
              <w:rPr>
                <w:rFonts w:ascii="游ゴシック" w:hAnsi="游ゴシック"/>
                <w:b/>
                <w:color w:val="FFFFFF"/>
                <w:sz w:val="21"/>
                <w:rFonts w:eastAsia="游ゴシック"/>
              </w:rPr>
              <w:t>アクション</w:t>
            </w:r>
          </w:p>
        </w:tc>
        <w:tc>
          <w:tcPr>
            <w:tcW w:type="dxa" w:w="3135"/>
            <w:shd w:val="clear" w:color="auto" w:fill="003366"/>
          </w:tcPr>
          <w:p>
            <w:r>
              <w:rPr>
                <w:rFonts w:ascii="游ゴシック" w:hAnsi="游ゴシック"/>
                <w:b/>
                <w:color w:val="FFFFFF"/>
                <w:sz w:val="21"/>
                <w:rFonts w:eastAsia="游ゴシック"/>
              </w:rPr>
              <w:t>担当/期限</w:t>
            </w:r>
          </w:p>
        </w:tc>
      </w:tr>
      <w:tr>
        <w:tc>
          <w:tcPr>
            <w:tcW w:type="dxa" w:w="3135"/>
            <w:shd w:val="clear" w:color="auto" w:fill="FFF2F2"/>
          </w:tcPr>
          <w:p>
            <w:r>
              <w:rPr>
                <w:rFonts w:ascii="游明朝" w:hAnsi="游明朝"/>
                <w:b/>
                <w:color w:val="C00000"/>
                <w:sz w:val="21"/>
                <w:rFonts w:eastAsia="游明朝"/>
              </w:rPr>
              <w:t>🔴 即対応</w:t>
            </w:r>
          </w:p>
        </w:tc>
        <w:tc>
          <w:tcPr>
            <w:tcW w:type="dxa" w:w="3135"/>
            <w:shd w:val="clear" w:color="auto" w:fill="FFF2F2"/>
          </w:tcPr>
          <w:p>
            <w:r>
              <w:rPr>
                <w:rFonts w:ascii="游明朝" w:hAnsi="游明朝"/>
                <w:b w:val="0"/>
                <w:color w:val="282828"/>
                <w:sz w:val="21"/>
                <w:rFonts w:eastAsia="游明朝"/>
              </w:rPr>
              <w:t>ConPass開発専用の個別契約（請負型）の起草・締結</w:t>
            </w:r>
          </w:p>
        </w:tc>
        <w:tc>
          <w:tcPr>
            <w:tcW w:type="dxa" w:w="3135"/>
            <w:shd w:val="clear" w:color="auto" w:fill="FFF2F2"/>
          </w:tcPr>
          <w:p>
            <w:r>
              <w:rPr>
                <w:rFonts w:ascii="游明朝" w:hAnsi="游明朝"/>
                <w:b w:val="0"/>
                <w:color w:val="282828"/>
                <w:sz w:val="21"/>
                <w:rFonts w:eastAsia="游明朝"/>
              </w:rPr>
              <w:t>締結前 最優先</w:t>
            </w:r>
          </w:p>
        </w:tc>
      </w:tr>
      <w:tr>
        <w:tc>
          <w:tcPr>
            <w:tcW w:type="dxa" w:w="3135"/>
            <w:shd w:val="clear" w:color="auto" w:fill="FFF2F2"/>
          </w:tcPr>
          <w:p>
            <w:r>
              <w:rPr>
                <w:rFonts w:ascii="游明朝" w:hAnsi="游明朝"/>
                <w:b/>
                <w:color w:val="C00000"/>
                <w:sz w:val="21"/>
                <w:rFonts w:eastAsia="游明朝"/>
              </w:rPr>
              <w:t>🔴 即対応</w:t>
            </w:r>
          </w:p>
        </w:tc>
        <w:tc>
          <w:tcPr>
            <w:tcW w:type="dxa" w:w="3135"/>
            <w:shd w:val="clear" w:color="auto" w:fill="FFF2F2"/>
          </w:tcPr>
          <w:p>
            <w:r>
              <w:rPr>
                <w:rFonts w:ascii="游明朝" w:hAnsi="游明朝"/>
                <w:b w:val="0"/>
                <w:color w:val="282828"/>
                <w:sz w:val="21"/>
                <w:rFonts w:eastAsia="游明朝"/>
              </w:rPr>
              <w:t>Brain Station 23のセキュリティ認証（ISO 27001等）の確認</w:t>
            </w:r>
          </w:p>
        </w:tc>
        <w:tc>
          <w:tcPr>
            <w:tcW w:type="dxa" w:w="3135"/>
            <w:shd w:val="clear" w:color="auto" w:fill="FFF2F2"/>
          </w:tcPr>
          <w:p>
            <w:r>
              <w:rPr>
                <w:rFonts w:ascii="游明朝" w:hAnsi="游明朝"/>
                <w:b w:val="0"/>
                <w:color w:val="282828"/>
                <w:sz w:val="21"/>
                <w:rFonts w:eastAsia="游明朝"/>
              </w:rPr>
              <w:t>締結前</w:t>
            </w:r>
          </w:p>
        </w:tc>
      </w:tr>
      <w:tr>
        <w:tc>
          <w:tcPr>
            <w:tcW w:type="dxa" w:w="3135"/>
            <w:shd w:val="clear" w:color="auto" w:fill="FFF2F2"/>
          </w:tcPr>
          <w:p>
            <w:r>
              <w:rPr>
                <w:rFonts w:ascii="游明朝" w:hAnsi="游明朝"/>
                <w:b/>
                <w:color w:val="C00000"/>
                <w:sz w:val="21"/>
                <w:rFonts w:eastAsia="游明朝"/>
              </w:rPr>
              <w:t>🔴 締結前</w:t>
            </w:r>
          </w:p>
        </w:tc>
        <w:tc>
          <w:tcPr>
            <w:tcW w:type="dxa" w:w="3135"/>
            <w:shd w:val="clear" w:color="auto" w:fill="FFF2F2"/>
          </w:tcPr>
          <w:p>
            <w:r>
              <w:rPr>
                <w:rFonts w:ascii="游明朝" w:hAnsi="游明朝"/>
                <w:b w:val="0"/>
                <w:color w:val="282828"/>
                <w:sz w:val="21"/>
                <w:rFonts w:eastAsia="游明朝"/>
              </w:rPr>
              <w:t>第13条（特許権帰属）の修正をLIGに提示</w:t>
            </w:r>
          </w:p>
        </w:tc>
        <w:tc>
          <w:tcPr>
            <w:tcW w:type="dxa" w:w="3135"/>
            <w:shd w:val="clear" w:color="auto" w:fill="FFF2F2"/>
          </w:tcPr>
          <w:p>
            <w:r>
              <w:rPr>
                <w:rFonts w:ascii="游明朝" w:hAnsi="游明朝"/>
                <w:b w:val="0"/>
                <w:color w:val="282828"/>
                <w:sz w:val="21"/>
                <w:rFonts w:eastAsia="游明朝"/>
              </w:rPr>
              <w:t>締結前</w:t>
            </w:r>
          </w:p>
        </w:tc>
      </w:tr>
      <w:tr>
        <w:tc>
          <w:tcPr>
            <w:tcW w:type="dxa" w:w="3135"/>
            <w:shd w:val="clear" w:color="auto" w:fill="FFF2F2"/>
          </w:tcPr>
          <w:p>
            <w:r>
              <w:rPr>
                <w:rFonts w:ascii="游明朝" w:hAnsi="游明朝"/>
                <w:b/>
                <w:color w:val="C00000"/>
                <w:sz w:val="21"/>
                <w:rFonts w:eastAsia="游明朝"/>
              </w:rPr>
              <w:t>🔴 締結前</w:t>
            </w:r>
          </w:p>
        </w:tc>
        <w:tc>
          <w:tcPr>
            <w:tcW w:type="dxa" w:w="3135"/>
            <w:shd w:val="clear" w:color="auto" w:fill="FFF2F2"/>
          </w:tcPr>
          <w:p>
            <w:r>
              <w:rPr>
                <w:rFonts w:ascii="游明朝" w:hAnsi="游明朝"/>
                <w:b w:val="0"/>
                <w:color w:val="282828"/>
                <w:sz w:val="21"/>
                <w:rFonts w:eastAsia="游明朝"/>
              </w:rPr>
              <w:t>SLAペナルティ条項（第4条）の追加をLIGに提示</w:t>
            </w:r>
          </w:p>
        </w:tc>
        <w:tc>
          <w:tcPr>
            <w:tcW w:type="dxa" w:w="3135"/>
            <w:shd w:val="clear" w:color="auto" w:fill="FFF2F2"/>
          </w:tcPr>
          <w:p>
            <w:r>
              <w:rPr>
                <w:rFonts w:ascii="游明朝" w:hAnsi="游明朝"/>
                <w:b w:val="0"/>
                <w:color w:val="282828"/>
                <w:sz w:val="21"/>
                <w:rFonts w:eastAsia="游明朝"/>
              </w:rPr>
              <w:t>締結前</w:t>
            </w:r>
          </w:p>
        </w:tc>
      </w:tr>
      <w:tr>
        <w:tc>
          <w:tcPr>
            <w:tcW w:type="dxa" w:w="3135"/>
            <w:shd w:val="clear" w:color="auto" w:fill="FFFBF0"/>
          </w:tcPr>
          <w:p>
            <w:r>
              <w:rPr>
                <w:rFonts w:ascii="游明朝" w:hAnsi="游明朝"/>
                <w:b/>
                <w:color w:val="BF8F00"/>
                <w:sz w:val="21"/>
                <w:rFonts w:eastAsia="游明朝"/>
              </w:rPr>
              <w:t>🟡 締結前</w:t>
            </w:r>
          </w:p>
        </w:tc>
        <w:tc>
          <w:tcPr>
            <w:tcW w:type="dxa" w:w="3135"/>
            <w:shd w:val="clear" w:color="auto" w:fill="FFFBF0"/>
          </w:tcPr>
          <w:p>
            <w:r>
              <w:rPr>
                <w:rFonts w:ascii="游明朝" w:hAnsi="游明朝"/>
                <w:b w:val="0"/>
                <w:color w:val="282828"/>
                <w:sz w:val="21"/>
                <w:rFonts w:eastAsia="游明朝"/>
              </w:rPr>
              <w:t>為替変動キャップ（第16条）の追加交渉</w:t>
            </w:r>
          </w:p>
        </w:tc>
        <w:tc>
          <w:tcPr>
            <w:tcW w:type="dxa" w:w="3135"/>
            <w:shd w:val="clear" w:color="auto" w:fill="FFFBF0"/>
          </w:tcPr>
          <w:p>
            <w:r>
              <w:rPr>
                <w:rFonts w:ascii="游明朝" w:hAnsi="游明朝"/>
                <w:b w:val="0"/>
                <w:color w:val="282828"/>
                <w:sz w:val="21"/>
                <w:rFonts w:eastAsia="游明朝"/>
              </w:rPr>
              <w:t>締結前</w:t>
            </w:r>
          </w:p>
        </w:tc>
      </w:tr>
      <w:tr>
        <w:tc>
          <w:tcPr>
            <w:tcW w:type="dxa" w:w="3135"/>
            <w:shd w:val="clear" w:color="auto" w:fill="FFFBF0"/>
          </w:tcPr>
          <w:p>
            <w:r>
              <w:rPr>
                <w:rFonts w:ascii="游明朝" w:hAnsi="游明朝"/>
                <w:b/>
                <w:color w:val="BF8F00"/>
                <w:sz w:val="21"/>
                <w:rFonts w:eastAsia="游明朝"/>
              </w:rPr>
              <w:t>🟡 締結前</w:t>
            </w:r>
          </w:p>
        </w:tc>
        <w:tc>
          <w:tcPr>
            <w:tcW w:type="dxa" w:w="3135"/>
            <w:shd w:val="clear" w:color="auto" w:fill="FFFBF0"/>
          </w:tcPr>
          <w:p>
            <w:r>
              <w:rPr>
                <w:rFonts w:ascii="游明朝" w:hAnsi="游明朝"/>
                <w:b w:val="0"/>
                <w:color w:val="282828"/>
                <w:sz w:val="21"/>
                <w:rFonts w:eastAsia="游明朝"/>
              </w:rPr>
              <w:t>契約不適合責任の通知期限を2年に延長交渉（第20条）</w:t>
            </w:r>
          </w:p>
        </w:tc>
        <w:tc>
          <w:tcPr>
            <w:tcW w:type="dxa" w:w="3135"/>
            <w:shd w:val="clear" w:color="auto" w:fill="FFFBF0"/>
          </w:tcPr>
          <w:p>
            <w:r>
              <w:rPr>
                <w:rFonts w:ascii="游明朝" w:hAnsi="游明朝"/>
                <w:b w:val="0"/>
                <w:color w:val="282828"/>
                <w:sz w:val="21"/>
                <w:rFonts w:eastAsia="游明朝"/>
              </w:rPr>
              <w:t>余裕があれば</w:t>
            </w:r>
          </w:p>
        </w:tc>
      </w:tr>
    </w:tbl>
    <w:p>
      <w:pPr>
        <w:spacing w:after="320"/>
      </w:pPr>
    </w:p>
    <w:p>
      <w:pPr>
        <w:spacing w:before="240"/>
      </w:pPr>
      <w:r>
        <w:rPr>
          <w:rFonts w:ascii="游明朝" w:hAnsi="游明朝"/>
          <w:b w:val="0"/>
          <w:color w:val="787878"/>
          <w:sz w:val="18"/>
          <w:rFonts w:eastAsia="游明朝"/>
        </w:rPr>
        <w:t>免責事項： このレビューは情報提供目的であり、法的アドバイスを構成するものではありません。最終的な判断・締結前に必ず弁護士等の有資格者によるレビューを受けることを強く推奨します。特に個人情報の国際移転（Brain Station 23への再委託）については、個人情報保護法の専門家への確認が必要です。</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