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86C1"/>
          <w:sz w:val="24"/>
          <w:szCs w:val="24"/>
        </w:rPr>
        <w:t xml:space="preserve">CONFIDENTIAL</w:t>
      </w:r>
    </w:p>
    <w:p>
      <w:pPr>
        <w:pBdr>
          <w:bottom w:val="single" w:color="1B4F72" w:sz="6" w:space="1"/>
        </w:pBdr>
        <w:spacing w:after="100"/>
        <w:jc w:val="center"/>
      </w:pPr>
    </w:p>
    <w:p>
      <w:pPr>
        <w:spacing w:after="400"/>
      </w:pPr>
    </w:p>
    <w:p>
      <w:pPr>
        <w:spacing w:after="200"/>
        <w:jc w:val="center"/>
      </w:pPr>
      <w:r>
        <w:rPr>
          <w:rFonts w:ascii="Arial" w:cs="Arial" w:eastAsia="Arial" w:hAnsi="Arial"/>
          <w:b/>
          <w:bCs/>
          <w:color w:val="1B4F72"/>
          <w:sz w:val="56"/>
          <w:szCs w:val="56"/>
        </w:rPr>
        <w:t xml:space="preserve">ConPass</w:t>
      </w:r>
    </w:p>
    <w:p>
      <w:pPr>
        <w:spacing w:after="120"/>
        <w:jc w:val="center"/>
      </w:pPr>
      <w:r>
        <w:rPr>
          <w:rFonts w:ascii="Arial" w:cs="Arial" w:eastAsia="Arial" w:hAnsi="Arial"/>
          <w:color w:val="1B4F72"/>
          <w:sz w:val="32"/>
          <w:szCs w:val="32"/>
        </w:rPr>
        <w:t xml:space="preserve">商取引インテリジェンス・プラットフォーム</w:t>
      </w:r>
    </w:p>
    <w:p>
      <w:pPr>
        <w:spacing w:after="600"/>
        <w:jc w:val="center"/>
      </w:pPr>
      <w:r>
        <w:rPr>
          <w:rFonts w:ascii="Arial" w:cs="Arial" w:eastAsia="Arial" w:hAnsi="Arial"/>
          <w:b/>
          <w:bCs/>
          <w:color w:val="2E86C1"/>
          <w:sz w:val="28"/>
          <w:szCs w:val="28"/>
        </w:rPr>
        <w:t xml:space="preserve">販売戦略ペーパー</w:t>
      </w:r>
    </w:p>
    <w:p>
      <w:pPr>
        <w:spacing w:after="100"/>
        <w:jc w:val="center"/>
      </w:pPr>
      <w:r>
        <w:rPr>
          <w:rFonts w:ascii="Arial" w:cs="Arial" w:eastAsia="Arial" w:hAnsi="Arial"/>
          <w:color w:val="555555"/>
          <w:sz w:val="24"/>
          <w:szCs w:val="24"/>
        </w:rPr>
        <w:t xml:space="preserve">誰に使ってもらうことが最大の価値を生むか</w:t>
      </w:r>
    </w:p>
    <w:p>
      <w:pPr>
        <w:spacing w:before="1200"/>
      </w:pPr>
    </w:p>
    <w:p>
      <w:pPr>
        <w:spacing w:after="100"/>
        <w:jc w:val="center"/>
      </w:pPr>
      <w:r>
        <w:rPr>
          <w:rFonts w:ascii="Arial" w:cs="Arial" w:eastAsia="Arial" w:hAnsi="Arial"/>
          <w:color w:val="555555"/>
          <w:sz w:val="22"/>
          <w:szCs w:val="22"/>
        </w:rPr>
        <w:t xml:space="preserve">株式会社日本パープル</w:t>
      </w:r>
    </w:p>
    <w:p>
      <w:pPr>
        <w:spacing w:after="100"/>
        <w:jc w:val="center"/>
      </w:pPr>
      <w:r>
        <w:rPr>
          <w:rFonts w:ascii="Arial" w:cs="Arial" w:eastAsia="Arial" w:hAnsi="Arial"/>
          <w:color w:val="555555"/>
          <w:sz w:val="22"/>
          <w:szCs w:val="22"/>
        </w:rPr>
        <w:t xml:space="preserve">デジタルアーカイブカンパニー</w:t>
      </w:r>
    </w:p>
    <w:p>
      <w:pPr>
        <w:jc w:val="center"/>
      </w:pPr>
      <w:r>
        <w:rPr>
          <w:rFonts w:ascii="Arial" w:cs="Arial" w:eastAsia="Arial" w:hAnsi="Arial"/>
          <w:color w:val="555555"/>
          <w:sz w:val="22"/>
          <w:szCs w:val="22"/>
        </w:rPr>
        <w:t xml:space="preserve">2026年2月</w:t>
      </w:r>
    </w:p>
    <w:p>
      <w:pPr>
        <w:sectPr>
          <w:pgSz w:w="11906" w:h="16838" w:orient="portrait"/>
          <w:pgMar w:top="1440" w:right="1440" w:bottom="1440" w:left="1440" w:header="708" w:footer="708" w:gutter="0"/>
          <w:pgNumType/>
          <w:docGrid w:linePitch="360"/>
        </w:sectPr>
      </w:pPr>
    </w:p>
    <w:p>
      <w:pPr>
        <w:pStyle w:val="Heading1"/>
      </w:pPr>
      <w:r>
        <w:t xml:space="preserve">ビジョン</w:t>
      </w:r>
    </w:p>
    <w:p>
      <w:pPr>
        <w:spacing w:after="200"/>
      </w:pPr>
      <w:r>
        <w:rPr>
          <w:rFonts w:ascii="Arial" w:cs="Arial" w:eastAsia="Arial" w:hAnsi="Arial"/>
          <w:sz w:val="22"/>
          <w:szCs w:val="22"/>
        </w:rPr>
        <w:t xml:space="preserve">ConPassが目指すのは契約管理の効率化ではなく、商取引における情報格差をなくし、企業の規模に関係なく健全な取引ができる社会を作ることである。商取引インテリジェンス・プラットフォームとして、契約→取引→決済のトレーサビリティを一気通貫で提供し、商取引の信用インフラとなることを最終到達点とする。</w:t>
      </w:r>
    </w:p>
    <w:p>
      <w:pPr>
        <w:pStyle w:val="Heading1"/>
      </w:pPr>
      <w:r>
        <w:t xml:space="preserve">社会に届ける3つの価値</w:t>
      </w:r>
    </w:p>
    <w:p>
      <w:pPr>
        <w:pStyle w:val="Heading2"/>
      </w:pPr>
      <w:r>
        <w:t xml:space="preserve">1. 取引の非対称性の解消</w:t>
      </w:r>
    </w:p>
    <w:p>
      <w:pPr>
        <w:spacing w:after="200"/>
      </w:pPr>
      <w:r>
        <w:rPr>
          <w:rFonts w:ascii="Arial" w:cs="Arial" w:eastAsia="Arial" w:hAnsi="Arial"/>
          <w:sz w:val="22"/>
          <w:szCs w:val="22"/>
        </w:rPr>
        <w:t xml:space="preserve">現在、契約交渉は情報を持っている側が圧倒的に有利である。大企業は法務部門と過去の交渉データを持ち、中小企業は「これが業界の標準です」と言われたらそれを信じるしかない。ベンチマークDBが公開されると、従業員30人の会社でも「この条件は業界の下位10%です」という客観的根拠を持って交渉できるようになる。取引における力の格差を構造的に縮小する。</w:t>
      </w:r>
    </w:p>
    <w:p>
      <w:pPr>
        <w:pStyle w:val="Heading2"/>
      </w:pPr>
      <w:r>
        <w:t xml:space="preserve">2. 商取引の健全性の可視化</w:t>
      </w:r>
    </w:p>
    <w:p>
      <w:pPr>
        <w:spacing w:after="200"/>
      </w:pPr>
      <w:r>
        <w:rPr>
          <w:rFonts w:ascii="Arial" w:cs="Arial" w:eastAsia="Arial" w:hAnsi="Arial"/>
          <w:sz w:val="22"/>
          <w:szCs w:val="22"/>
        </w:rPr>
        <w:t xml:space="preserve">企業の不正や倒産は、多くの場合「契約と実態の乖離」から始まる。発注書なしの請求、支払サイトの慢性的な超過、契約条件の一方的な変更。これらは個別には見えにくいが、プラットフォーム上で横断的に監視されることで、異常が早期に検出される。取引の透明性が上がれば、不健全な商慣習そのものが淘汰されていく。</w:t>
      </w:r>
    </w:p>
    <w:p>
      <w:pPr>
        <w:pStyle w:val="Heading2"/>
      </w:pPr>
      <w:r>
        <w:t xml:space="preserve">3. 経営判断の民主化</w:t>
      </w:r>
    </w:p>
    <w:p>
      <w:pPr>
        <w:spacing w:after="200"/>
      </w:pPr>
      <w:r>
        <w:rPr>
          <w:rFonts w:ascii="Arial" w:cs="Arial" w:eastAsia="Arial" w:hAnsi="Arial"/>
          <w:sz w:val="22"/>
          <w:szCs w:val="22"/>
        </w:rPr>
        <w:t xml:space="preserve">「取引全体の健全性」を把握できるのは、現在、高額なERPとコンサルティングを導入できる大企業だけである。ConPassがBPOとAIを融合することで、紙の契約書しか持っていない中小企業でも、スキャンして放り込むだけで取引ポートフォリオ全体のリスクとコストが可視化される。企業規模を問わず、データに基づく経営判断が手に届くようになる。</w:t>
      </w:r>
    </w:p>
    <w:p>
      <w:pPr>
        <w:pStyle w:val="Heading1"/>
      </w:pPr>
      <w:r>
        <w:t xml:space="preserve">5層の利用者モデル</w:t>
      </w:r>
    </w:p>
    <w:p>
      <w:pPr>
        <w:spacing w:after="200"/>
      </w:pPr>
      <w:r>
        <w:rPr>
          <w:rFonts w:ascii="Arial" w:cs="Arial" w:eastAsia="Arial" w:hAnsi="Arial"/>
          <w:sz w:val="22"/>
          <w:szCs w:val="22"/>
        </w:rPr>
        <w:t xml:space="preserve">ConPassの価値は単独のユーザーではなく、複数のプレイヤーが同時に使うことで複合的に生まれる。以下の5層が連動することで、商取引の信用インフラが形成される。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層</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プレイヤー</w:t>
            </w:r>
          </w:p>
        </w:tc>
        <w:tc>
          <w:tcPr>
            <w:tcW w:type="dxa" w:w="5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役割</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第1層</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契約の当事者（中小企業）</w:t>
            </w:r>
          </w:p>
        </w:tc>
        <w:tc>
          <w:tcPr>
            <w:tcW w:type="dxa" w:w="56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契約書を日常的にConPassに投入するデータの母数を作る層。単独では導入動機が弱く、第2層以上からの推奨が流通の起点となる。</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第2層</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専門家・アドバイザー（士業）</w:t>
            </w:r>
          </w:p>
        </w:tc>
        <w:tc>
          <w:tcPr>
            <w:tcW w:type="dxa" w:w="5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複数の顧問先を横断的に見る立場。自身の業務効率化と顧問先への付加価値提供の二重の導入動機を持つ。顧問先にツール導入を推奨する立場であり、販売チャネルとデータ投入の起点を兼ねる。</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第3層</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業界団体・協会</w:t>
            </w:r>
          </w:p>
        </w:tc>
        <w:tc>
          <w:tcPr>
            <w:tcW w:type="dxa" w:w="56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業界全体のコンプライアンス水準を管理する立場。OEM展開により数百〜数千社が一括導入する可能性を持ち、ベンチマークDBの業種カバレッジを一気に拡大する。</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第4層</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金融機関・保険会社</w:t>
            </w:r>
          </w:p>
        </w:tc>
        <w:tc>
          <w:tcPr>
            <w:tcW w:type="dxa" w:w="5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融資審査・保険引受審査にConPassスコアを活用。「ConPassスコアが高い企業は融資条件が有利になる」構造が生まれれば、第1層に強烈な経済的インセンティブが生まれる。</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第5層</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行政・規制当局</w:t>
            </w:r>
          </w:p>
        </w:tc>
        <w:tc>
          <w:tcPr>
            <w:tcW w:type="dxa" w:w="56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直接ConPassを使うわけではないが、監査証跡やコンプライアンスレポートが行政対応の標準フォーマットになれば、間接的な導入動機が全層に波及する。</w:t>
            </w:r>
          </w:p>
        </w:tc>
      </w:tr>
    </w:tbl>
    <w:p>
      <w:pPr>
        <w:spacing w:after="200"/>
      </w:pPr>
    </w:p>
    <w:p>
      <w:pPr>
        <w:pStyle w:val="Heading1"/>
      </w:pPr>
      <w:r>
        <w:t xml:space="preserve">第2層：士業チャネルの詳細</w:t>
      </w:r>
    </w:p>
    <w:p>
      <w:pPr>
        <w:spacing w:after="200"/>
      </w:pPr>
      <w:r>
        <w:rPr>
          <w:rFonts w:ascii="Arial" w:cs="Arial" w:eastAsia="Arial" w:hAnsi="Arial"/>
          <w:sz w:val="22"/>
          <w:szCs w:val="22"/>
        </w:rPr>
        <w:t xml:space="preserve">士業は全て「複数の顧問先 × 大量の契約 × 頻繁な法改正」という三重の複雑性を抱えており、ConPassは横断的な可視化とプッシュ型の変更検知で応える。士業ごとの具体的な価値提供は以下の通り。</w:t>
      </w:r>
    </w:p>
    <w:p>
      <w:pPr>
        <w:pStyle w:val="Heading2"/>
      </w:pPr>
      <w:r>
        <w:t xml:space="preserve">税理士</w:t>
      </w:r>
    </w:p>
    <w:p>
      <w:pPr>
        <w:spacing w:after="120"/>
      </w:pPr>
      <w:r>
        <w:rPr>
          <w:rFonts w:ascii="Arial" w:cs="Arial" w:eastAsia="Arial" w:hAnsi="Arial"/>
          <w:sz w:val="22"/>
          <w:szCs w:val="22"/>
        </w:rPr>
        <w:t xml:space="preserve">決算処理で最も時間がかかるのは仕訳や計算ではなく「取引の実態確認」である。請求書と契約書の突合、売上計上基準の判断、期間按分の根拠確認は、顧問先から届く資料を一つずつ確認する作業であり、顧問先が10社あれば10社分の契約体系を把握しなければならない。</w:t>
      </w:r>
    </w:p>
    <w:p>
      <w:pPr>
        <w:pStyle w:val="ListParagraph"/>
        <w:numPr>
          <w:ilvl w:val="0"/>
          <w:numId w:val="2"/>
        </w:numPr>
        <w:spacing w:after="80"/>
      </w:pPr>
      <w:r>
        <w:rPr>
          <w:rFonts w:ascii="Arial" w:cs="Arial" w:eastAsia="Arial" w:hAnsi="Arial"/>
          <w:sz w:val="22"/>
          <w:szCs w:val="22"/>
        </w:rPr>
        <w:t xml:space="preserve">3点照合で請求と契約の整合性が自動検証され、異常を決算前に検知</w:t>
      </w:r>
    </w:p>
    <w:p>
      <w:pPr>
        <w:pStyle w:val="ListParagraph"/>
        <w:numPr>
          <w:ilvl w:val="0"/>
          <w:numId w:val="2"/>
        </w:numPr>
        <w:spacing w:after="80"/>
      </w:pPr>
      <w:r>
        <w:rPr>
          <w:rFonts w:ascii="Arial" w:cs="Arial" w:eastAsia="Arial" w:hAnsi="Arial"/>
          <w:sz w:val="22"/>
          <w:szCs w:val="22"/>
        </w:rPr>
        <w:t xml:space="preserve">「この売上は契約上どの条件で計上すべきか」をAIアシスタントが契約本文と法令根拠付きで回答</w:t>
      </w:r>
    </w:p>
    <w:p>
      <w:pPr>
        <w:pStyle w:val="ListParagraph"/>
        <w:numPr>
          <w:ilvl w:val="0"/>
          <w:numId w:val="2"/>
        </w:numPr>
        <w:spacing w:after="200"/>
      </w:pPr>
      <w:r>
        <w:rPr>
          <w:rFonts w:ascii="Arial" w:cs="Arial" w:eastAsia="Arial" w:hAnsi="Arial"/>
          <w:sz w:val="22"/>
          <w:szCs w:val="22"/>
        </w:rPr>
        <w:t xml:space="preserve">複数顧問先の横断ベンチマークにより「同業他社と比べて外注比率が高すぎる」等のインサイトを税務観点から提供可能に</w:t>
      </w:r>
    </w:p>
    <w:p>
      <w:pPr>
        <w:pStyle w:val="Heading2"/>
      </w:pPr>
      <w:r>
        <w:t xml:space="preserve">弁護士</w:t>
      </w:r>
    </w:p>
    <w:p>
      <w:pPr>
        <w:spacing w:after="120"/>
      </w:pPr>
      <w:r>
        <w:rPr>
          <w:rFonts w:ascii="Arial" w:cs="Arial" w:eastAsia="Arial" w:hAnsi="Arial"/>
          <w:sz w:val="22"/>
          <w:szCs w:val="22"/>
        </w:rPr>
        <w:t xml:space="preserve">企業法務アドバイザリーで最も非効率なのは、顧問先の契約ポートフォリオ全体を把握していないことである。個別のレビューは依頼があれば対応するが、全体としてどんなリスクを抱えているかは見えず、法改正があっても能動的にアドバイスできない。</w:t>
      </w:r>
    </w:p>
    <w:p>
      <w:pPr>
        <w:pStyle w:val="ListParagraph"/>
        <w:numPr>
          <w:ilvl w:val="0"/>
          <w:numId w:val="3"/>
        </w:numPr>
        <w:spacing w:after="80"/>
      </w:pPr>
      <w:r>
        <w:rPr>
          <w:rFonts w:ascii="Arial" w:cs="Arial" w:eastAsia="Arial" w:hAnsi="Arial"/>
          <w:sz w:val="22"/>
          <w:szCs w:val="22"/>
        </w:rPr>
        <w:t xml:space="preserve">法改正時に影響を受ける契約が自動リストアップされ、先回りして連絡可能に</w:t>
      </w:r>
    </w:p>
    <w:p>
      <w:pPr>
        <w:pStyle w:val="ListParagraph"/>
        <w:numPr>
          <w:ilvl w:val="0"/>
          <w:numId w:val="3"/>
        </w:numPr>
        <w:spacing w:after="80"/>
      </w:pPr>
      <w:r>
        <w:rPr>
          <w:rFonts w:ascii="Arial" w:cs="Arial" w:eastAsia="Arial" w:hAnsi="Arial"/>
          <w:sz w:val="22"/>
          <w:szCs w:val="22"/>
        </w:rPr>
        <w:t xml:space="preserve">判例DBとの統合で「類似条項で争われた判例」の即時参照が可能</w:t>
      </w:r>
    </w:p>
    <w:p>
      <w:pPr>
        <w:pStyle w:val="ListParagraph"/>
        <w:numPr>
          <w:ilvl w:val="0"/>
          <w:numId w:val="3"/>
        </w:numPr>
        <w:spacing w:after="200"/>
      </w:pPr>
      <w:r>
        <w:rPr>
          <w:rFonts w:ascii="Arial" w:cs="Arial" w:eastAsia="Arial" w:hAnsi="Arial"/>
          <w:sz w:val="22"/>
          <w:szCs w:val="22"/>
        </w:rPr>
        <w:t xml:space="preserve">顧問契約の価値が「聞かれたら答える」から「リスクを先に見つけて教える」に転換</w:t>
      </w:r>
    </w:p>
    <w:p>
      <w:pPr>
        <w:pStyle w:val="Heading2"/>
      </w:pPr>
      <w:r>
        <w:t xml:space="preserve">弁理士</w:t>
      </w:r>
    </w:p>
    <w:p>
      <w:pPr>
        <w:spacing w:after="120"/>
      </w:pPr>
      <w:r>
        <w:rPr>
          <w:rFonts w:ascii="Arial" w:cs="Arial" w:eastAsia="Arial" w:hAnsi="Arial"/>
          <w:sz w:val="22"/>
          <w:szCs w:val="22"/>
        </w:rPr>
        <w:t xml:space="preserve">知財管理は契約管理と本質的に同じ構造を持つ。特許・商標のライセンス契約、共同研究開発契約、秘密保持契約が大量に発生し、それぞれに期限管理がある。</w:t>
      </w:r>
    </w:p>
    <w:p>
      <w:pPr>
        <w:pStyle w:val="ListParagraph"/>
        <w:numPr>
          <w:ilvl w:val="0"/>
          <w:numId w:val="4"/>
        </w:numPr>
        <w:spacing w:after="80"/>
      </w:pPr>
      <w:r>
        <w:rPr>
          <w:rFonts w:ascii="Arial" w:cs="Arial" w:eastAsia="Arial" w:hAnsi="Arial"/>
          <w:sz w:val="22"/>
          <w:szCs w:val="22"/>
        </w:rPr>
        <w:t xml:space="preserve">ライセンス料の支払条件と実際の支払の突合、特許権の存続期間と関連契約の整合性チェック</w:t>
      </w:r>
    </w:p>
    <w:p>
      <w:pPr>
        <w:pStyle w:val="ListParagraph"/>
        <w:numPr>
          <w:ilvl w:val="0"/>
          <w:numId w:val="4"/>
        </w:numPr>
        <w:spacing w:after="200"/>
      </w:pPr>
      <w:r>
        <w:rPr>
          <w:rFonts w:ascii="Arial" w:cs="Arial" w:eastAsia="Arial" w:hAnsi="Arial"/>
          <w:sz w:val="22"/>
          <w:szCs w:val="22"/>
        </w:rPr>
        <w:t xml:space="preserve">「この特許が失効したら影響を受ける契約はどれか」にグラフインデックスで即座に回答</w:t>
      </w:r>
    </w:p>
    <w:p>
      <w:pPr>
        <w:pStyle w:val="Heading2"/>
      </w:pPr>
      <w:r>
        <w:t xml:space="preserve">社会保険労務士</w:t>
      </w:r>
    </w:p>
    <w:p>
      <w:pPr>
        <w:spacing w:after="120"/>
      </w:pPr>
      <w:r>
        <w:rPr>
          <w:rFonts w:ascii="Arial" w:cs="Arial" w:eastAsia="Arial" w:hAnsi="Arial"/>
          <w:sz w:val="22"/>
          <w:szCs w:val="22"/>
        </w:rPr>
        <w:t xml:space="preserve">顧問先の雇用契約・就業規則・労使協定を預かる立場。労働法の改正頻度は高く、改正のたびに「どの顧問先のどの規程が影響を受けるか」を確認する作業が発生する。</w:t>
      </w:r>
    </w:p>
    <w:p>
      <w:pPr>
        <w:pStyle w:val="ListParagraph"/>
        <w:numPr>
          <w:ilvl w:val="0"/>
          <w:numId w:val="5"/>
        </w:numPr>
        <w:spacing w:after="200"/>
      </w:pPr>
      <w:r>
        <w:rPr>
          <w:rFonts w:ascii="Arial" w:cs="Arial" w:eastAsia="Arial" w:hAnsi="Arial"/>
          <w:sz w:val="22"/>
          <w:szCs w:val="22"/>
        </w:rPr>
        <w:t xml:space="preserve">プッシュ型の法令変更監視が直接適用可能。法令ナレッジソースとコンプライアンス通知がそのまま活きる</w:t>
      </w:r>
    </w:p>
    <w:p>
      <w:pPr>
        <w:pStyle w:val="Heading2"/>
      </w:pPr>
      <w:r>
        <w:t xml:space="preserve">行政書士</w:t>
      </w:r>
    </w:p>
    <w:p>
      <w:pPr>
        <w:spacing w:after="120"/>
      </w:pPr>
      <w:r>
        <w:rPr>
          <w:rFonts w:ascii="Arial" w:cs="Arial" w:eastAsia="Arial" w:hAnsi="Arial"/>
          <w:sz w:val="22"/>
          <w:szCs w:val="22"/>
        </w:rPr>
        <w:t xml:space="preserve">許認可申請に伴う契約書類の管理が中心業務の一つ。許認可の更新期限と関連契約の期限が連動しており、片方を見落とすと事業停止リスクにつながる。</w:t>
      </w:r>
    </w:p>
    <w:p>
      <w:pPr>
        <w:pStyle w:val="ListParagraph"/>
        <w:numPr>
          <w:ilvl w:val="0"/>
          <w:numId w:val="6"/>
        </w:numPr>
        <w:spacing w:after="200"/>
      </w:pPr>
      <w:r>
        <w:rPr>
          <w:rFonts w:ascii="Arial" w:cs="Arial" w:eastAsia="Arial" w:hAnsi="Arial"/>
          <w:sz w:val="22"/>
          <w:szCs w:val="22"/>
        </w:rPr>
        <w:t xml:space="preserve">リレーション管理で許認可と契約の紐付けを自動化し、更新に先立った契約見直しを先回りで提案可能に</w:t>
      </w:r>
    </w:p>
    <w:p>
      <w:pPr>
        <w:pStyle w:val="Heading2"/>
      </w:pPr>
      <w:r>
        <w:t xml:space="preserve">司法書士</w:t>
      </w:r>
    </w:p>
    <w:p>
      <w:pPr>
        <w:spacing w:after="120"/>
      </w:pPr>
      <w:r>
        <w:rPr>
          <w:rFonts w:ascii="Arial" w:cs="Arial" w:eastAsia="Arial" w:hAnsi="Arial"/>
          <w:sz w:val="22"/>
          <w:szCs w:val="22"/>
        </w:rPr>
        <w:t xml:space="preserve">不動産登記や会社登記に付随する契約書を扱う。一つの取引に複数の契約と証憑が紐付き、登記完了後も原本管理が長期間必要。</w:t>
      </w:r>
    </w:p>
    <w:p>
      <w:pPr>
        <w:pStyle w:val="ListParagraph"/>
        <w:numPr>
          <w:ilvl w:val="0"/>
          <w:numId w:val="7"/>
        </w:numPr>
        <w:spacing w:after="200"/>
      </w:pPr>
      <w:r>
        <w:rPr>
          <w:rFonts w:ascii="Arial" w:cs="Arial" w:eastAsia="Arial" w:hAnsi="Arial"/>
          <w:sz w:val="22"/>
          <w:szCs w:val="22"/>
        </w:rPr>
        <w:t xml:space="preserve">BPO統合（原本保管＋スキャニング＋機密廃棄）が司法書士事務所にとって直接的な価値を持つ</w:t>
      </w:r>
    </w:p>
    <w:p>
      <w:pPr>
        <w:pStyle w:val="Heading2"/>
      </w:pPr>
      <w:r>
        <w:t xml:space="preserve">監査法人</w:t>
      </w:r>
    </w:p>
    <w:p>
      <w:pPr>
        <w:spacing w:after="120"/>
      </w:pPr>
      <w:r>
        <w:rPr>
          <w:rFonts w:ascii="Arial" w:cs="Arial" w:eastAsia="Arial" w:hAnsi="Arial"/>
          <w:sz w:val="22"/>
          <w:szCs w:val="22"/>
        </w:rPr>
        <w:t xml:space="preserve">監査法人は顧問先の契約を「レビューする」のではなく「検証する」立場にある。財務諸表監査において、売上の実在性・網羅性の検証には契約書と証憑の突合が不可欠だが、現在はサンプリングベースで人手で行われている。</w:t>
      </w:r>
    </w:p>
    <w:p>
      <w:pPr>
        <w:pStyle w:val="ListParagraph"/>
        <w:numPr>
          <w:ilvl w:val="0"/>
          <w:numId w:val="8"/>
        </w:numPr>
        <w:spacing w:after="80"/>
      </w:pPr>
      <w:r>
        <w:rPr>
          <w:rFonts w:ascii="Arial" w:cs="Arial" w:eastAsia="Arial" w:hAnsi="Arial"/>
          <w:sz w:val="22"/>
          <w:szCs w:val="22"/>
        </w:rPr>
        <w:t xml:space="preserve">3点照合と監査証跡により全件検証を自動化。監査コスト削減と監査品質向上を同時実現</w:t>
      </w:r>
    </w:p>
    <w:p>
      <w:pPr>
        <w:pStyle w:val="ListParagraph"/>
        <w:numPr>
          <w:ilvl w:val="0"/>
          <w:numId w:val="8"/>
        </w:numPr>
        <w:spacing w:after="80"/>
      </w:pPr>
      <w:r>
        <w:rPr>
          <w:rFonts w:ascii="Arial" w:cs="Arial" w:eastAsia="Arial" w:hAnsi="Arial"/>
          <w:sz w:val="22"/>
          <w:szCs w:val="22"/>
        </w:rPr>
        <w:t xml:space="preserve">被監査企業に対して「ConPassにデータを入れてください」という強制力が働く。士業の「推奨」よりも強い導入ドライバー</w:t>
      </w:r>
    </w:p>
    <w:p>
      <w:pPr>
        <w:pStyle w:val="ListParagraph"/>
        <w:numPr>
          <w:ilvl w:val="0"/>
          <w:numId w:val="8"/>
        </w:numPr>
        <w:spacing w:after="200"/>
      </w:pPr>
      <w:r>
        <w:rPr>
          <w:rFonts w:ascii="Arial" w:cs="Arial" w:eastAsia="Arial" w:hAnsi="Arial"/>
          <w:sz w:val="22"/>
          <w:szCs w:val="22"/>
        </w:rPr>
        <w:t xml:space="preserve">ベンチマークDBの母数を一気に拡大させる最も強力なレバー</w:t>
      </w:r>
    </w:p>
    <w:p>
      <w:pPr>
        <w:pStyle w:val="Heading1"/>
      </w:pPr>
      <w:r>
        <w:t xml:space="preserve">第3層：業界団体OEM展開の詳細</w:t>
      </w:r>
    </w:p>
    <w:p>
      <w:pPr>
        <w:spacing w:after="200"/>
      </w:pPr>
      <w:r>
        <w:rPr>
          <w:rFonts w:ascii="Arial" w:cs="Arial" w:eastAsia="Arial" w:hAnsi="Arial"/>
          <w:sz w:val="22"/>
          <w:szCs w:val="22"/>
        </w:rPr>
        <w:t xml:space="preserve">業界団体を通じたOEM展開は、団体・会員企業・ConPassの三者の利害が一致する構造を持つ。団体のロゴとUIでラッピングし、業界固有のテンプレート・検査ルール・商慣習データをプリセットして提供する。</w:t>
      </w:r>
    </w:p>
    <w:p>
      <w:pPr>
        <w:pStyle w:val="Heading2"/>
      </w:pPr>
      <w:r>
        <w:t xml:space="preserve">不動産業界</w:t>
      </w:r>
    </w:p>
    <w:p>
      <w:pPr>
        <w:spacing w:after="120"/>
      </w:pPr>
      <w:r>
        <w:rPr>
          <w:rFonts w:ascii="Arial" w:cs="Arial" w:eastAsia="Arial" w:hAnsi="Arial"/>
          <w:sz w:val="22"/>
          <w:szCs w:val="22"/>
        </w:rPr>
        <w:t xml:space="preserve">全日本不動産協会・全国宅地建物取引業協会には約12万社が加盟。売買契約、賃貸借契約、管理委託契約、仲介契約が日常的に大量発生し、宅建業法・借地借家法・建築基準法など関連法令も多い。</w:t>
      </w:r>
    </w:p>
    <w:p>
      <w:pPr>
        <w:spacing w:after="200"/>
      </w:pPr>
      <w:r>
        <w:rPr>
          <w:rFonts w:ascii="Arial" w:cs="Arial" w:eastAsia="Arial" w:hAnsi="Arial"/>
          <w:b/>
          <w:bCs/>
          <w:sz w:val="22"/>
          <w:szCs w:val="22"/>
        </w:rPr>
        <w:t xml:space="preserve">ConPassの位置づけ：</w:t>
      </w:r>
      <w:r>
        <w:rPr>
          <w:rFonts w:ascii="Arial" w:cs="Arial" w:eastAsia="Arial" w:hAnsi="Arial"/>
          <w:sz w:val="22"/>
          <w:szCs w:val="22"/>
        </w:rPr>
        <w:t xml:space="preserve">会員向けコンプライアンス支援ツール。行政処分リスクの回避が団体レベルの導入動機。「この地域のこの物件種別では、原状回復条項はこういう条件が標準」というベンチマークは団体経由でのみ実現可能。</w:t>
      </w:r>
    </w:p>
    <w:p>
      <w:pPr>
        <w:pStyle w:val="Heading2"/>
      </w:pPr>
      <w:r>
        <w:t xml:space="preserve">介護業界</w:t>
      </w:r>
    </w:p>
    <w:p>
      <w:pPr>
        <w:spacing w:after="120"/>
      </w:pPr>
      <w:r>
        <w:rPr>
          <w:rFonts w:ascii="Arial" w:cs="Arial" w:eastAsia="Arial" w:hAnsi="Arial"/>
          <w:sz w:val="22"/>
          <w:szCs w:val="22"/>
        </w:rPr>
        <w:t xml:space="preserve">介護業界の特殊性は、契約相手が利用者（個人）と行政（介護保険）の二面性を持つこと。介護保険法の改正（3年ごとの報酬改定）のたびに全契約書の見直しが必要になる。</w:t>
      </w:r>
    </w:p>
    <w:p>
      <w:pPr>
        <w:spacing w:after="200"/>
      </w:pPr>
      <w:r>
        <w:rPr>
          <w:rFonts w:ascii="Arial" w:cs="Arial" w:eastAsia="Arial" w:hAnsi="Arial"/>
          <w:b/>
          <w:bCs/>
          <w:sz w:val="22"/>
          <w:szCs w:val="22"/>
        </w:rPr>
        <w:t xml:space="preserve">ConPassの位置づけ：</w:t>
      </w:r>
      <w:r>
        <w:rPr>
          <w:rFonts w:ascii="Arial" w:cs="Arial" w:eastAsia="Arial" w:hAnsi="Arial"/>
          <w:sz w:val="22"/>
          <w:szCs w:val="22"/>
        </w:rPr>
        <w:t xml:space="preserve">報酬改定対応の自動化基盤。改定による影響範囲の自動検出、AIドラフト生成による改訂案提示、実地指導（監査）対応の監査証跡自動生成。業界全体の対応コストを劇的に削減。</w:t>
      </w:r>
    </w:p>
    <w:p>
      <w:pPr>
        <w:pStyle w:val="Heading2"/>
      </w:pPr>
      <w:r>
        <w:t xml:space="preserve">OEM展開の共通構造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受益者</w:t>
            </w:r>
          </w:p>
        </w:tc>
        <w:tc>
          <w:tcPr>
            <w:tcW w:type="dxa" w:w="6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導入動機</w:t>
            </w:r>
          </w:p>
        </w:tc>
      </w:tr>
      <w:tr>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業界団体</w:t>
            </w:r>
          </w:p>
        </w:tc>
        <w:tc>
          <w:tcPr>
            <w:tcW w:type="dxa" w:w="65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会員の品質管理・コンプライアンス監視の基盤</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会員企業</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法改正対応の自動化・契約リスクの可視化</w:t>
            </w:r>
          </w:p>
        </w:tc>
      </w:tr>
      <w:tr>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ConPass</w:t>
            </w:r>
          </w:p>
        </w:tc>
        <w:tc>
          <w:tcPr>
            <w:tcW w:type="dxa" w:w="65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ベンチマークDBの母数確保・業種カバレッジ拡大</w:t>
            </w:r>
          </w:p>
        </w:tc>
      </w:tr>
    </w:tbl>
    <w:p>
      <w:pPr>
        <w:spacing w:after="200"/>
      </w:pPr>
    </w:p>
    <w:p>
      <w:pPr>
        <w:pStyle w:val="Heading1"/>
      </w:pPr>
      <w:r>
        <w:t xml:space="preserve">第4層：金融機関・保険会社</w:t>
      </w:r>
    </w:p>
    <w:p>
      <w:pPr>
        <w:spacing w:after="200"/>
      </w:pPr>
      <w:r>
        <w:rPr>
          <w:rFonts w:ascii="Arial" w:cs="Arial" w:eastAsia="Arial" w:hAnsi="Arial"/>
          <w:sz w:val="22"/>
          <w:szCs w:val="22"/>
        </w:rPr>
        <w:t xml:space="preserve">銀行の融資審査、保険会社の引受審査において、企業の契約ポートフォリオの健全性は本来重要な判断材料だが、現状では可視化する手段がない。ConPassのベンチマークスコアや取引健全性指標が標準化されれば、融資判断や保険料率の算定に活用できる。</w:t>
      </w:r>
    </w:p>
    <w:p>
      <w:pPr>
        <w:spacing w:after="200"/>
      </w:pPr>
      <w:r>
        <w:rPr>
          <w:rFonts w:ascii="Arial" w:cs="Arial" w:eastAsia="Arial" w:hAnsi="Arial"/>
          <w:sz w:val="22"/>
          <w:szCs w:val="22"/>
        </w:rPr>
        <w:t xml:space="preserve">「ConPassスコアが高い企業は融資条件が有利になる」という構造ができれば、企業側にConPass導入の強烈な経済的インセンティブが生まれる。これはベンチマークDBのネットワーク効果を最大化する最終形であり、ConPassが「商取引の信用インフラ」として確立される転換点となる。</w:t>
      </w:r>
    </w:p>
    <w:p>
      <w:pPr>
        <w:pStyle w:val="Heading1"/>
      </w:pPr>
      <w:r>
        <w:t xml:space="preserve">複合的な価値循環の構造</w:t>
      </w:r>
    </w:p>
    <w:p>
      <w:pPr>
        <w:spacing w:after="200"/>
      </w:pPr>
      <w:r>
        <w:rPr>
          <w:rFonts w:ascii="Arial" w:cs="Arial" w:eastAsia="Arial" w:hAnsi="Arial"/>
          <w:sz w:val="22"/>
          <w:szCs w:val="22"/>
        </w:rPr>
        <w:t xml:space="preserve">5つの層は独立ではなく、循環構造を形成する。</w:t>
      </w:r>
    </w:p>
    <w:p>
      <w:pPr>
        <w:pStyle w:val="ListParagraph"/>
        <w:numPr>
          <w:ilvl w:val="0"/>
          <w:numId w:val="9"/>
        </w:numPr>
        <w:spacing w:after="80"/>
      </w:pPr>
      <w:r>
        <w:rPr>
          <w:rFonts w:ascii="Arial" w:cs="Arial" w:eastAsia="Arial" w:hAnsi="Arial"/>
          <w:b/>
          <w:bCs/>
          <w:sz w:val="22"/>
          <w:szCs w:val="22"/>
        </w:rPr>
        <w:t xml:space="preserve">士業（第2層）</w:t>
      </w:r>
      <w:r>
        <w:rPr>
          <w:rFonts w:ascii="Arial" w:cs="Arial" w:eastAsia="Arial" w:hAnsi="Arial"/>
          <w:sz w:val="22"/>
          <w:szCs w:val="22"/>
        </w:rPr>
        <w:t xml:space="preserve">が自ら使いつつ顧問先（第1層）にも導入を推奨。1契約で2層のデータが同時に入る。</w:t>
      </w:r>
    </w:p>
    <w:p>
      <w:pPr>
        <w:pStyle w:val="ListParagraph"/>
        <w:numPr>
          <w:ilvl w:val="0"/>
          <w:numId w:val="9"/>
        </w:numPr>
        <w:spacing w:after="80"/>
      </w:pPr>
      <w:r>
        <w:rPr>
          <w:rFonts w:ascii="Arial" w:cs="Arial" w:eastAsia="Arial" w:hAnsi="Arial"/>
          <w:b/>
          <w:bCs/>
          <w:sz w:val="22"/>
          <w:szCs w:val="22"/>
        </w:rPr>
        <w:t xml:space="preserve">業界団体（第3層）</w:t>
      </w:r>
      <w:r>
        <w:rPr>
          <w:rFonts w:ascii="Arial" w:cs="Arial" w:eastAsia="Arial" w:hAnsi="Arial"/>
          <w:sz w:val="22"/>
          <w:szCs w:val="22"/>
        </w:rPr>
        <w:t xml:space="preserve">のOEM展開で数百〜数千社が一括導入。ベンチマークDBの業種カバレッジが一気に拡大。</w:t>
      </w:r>
    </w:p>
    <w:p>
      <w:pPr>
        <w:pStyle w:val="ListParagraph"/>
        <w:numPr>
          <w:ilvl w:val="0"/>
          <w:numId w:val="9"/>
        </w:numPr>
        <w:spacing w:after="80"/>
      </w:pPr>
      <w:r>
        <w:rPr>
          <w:rFonts w:ascii="Arial" w:cs="Arial" w:eastAsia="Arial" w:hAnsi="Arial"/>
          <w:b/>
          <w:bCs/>
          <w:sz w:val="22"/>
          <w:szCs w:val="22"/>
        </w:rPr>
        <w:t xml:space="preserve">蓄積されたベンチマークが金融機関（第4層）</w:t>
      </w:r>
      <w:r>
        <w:rPr>
          <w:rFonts w:ascii="Arial" w:cs="Arial" w:eastAsia="Arial" w:hAnsi="Arial"/>
          <w:sz w:val="22"/>
          <w:szCs w:val="22"/>
        </w:rPr>
        <w:t xml:space="preserve">を引きつけ、ConPassスコアが融資・保険の評価指標に。</w:t>
      </w:r>
    </w:p>
    <w:p>
      <w:pPr>
        <w:pStyle w:val="ListParagraph"/>
        <w:numPr>
          <w:ilvl w:val="0"/>
          <w:numId w:val="9"/>
        </w:numPr>
        <w:spacing w:after="80"/>
      </w:pPr>
      <w:r>
        <w:rPr>
          <w:rFonts w:ascii="Arial" w:cs="Arial" w:eastAsia="Arial" w:hAnsi="Arial"/>
          <w:b/>
          <w:bCs/>
          <w:sz w:val="22"/>
          <w:szCs w:val="22"/>
        </w:rPr>
        <w:t xml:space="preserve">金融機関の採用が第1層の導入動機をさらに強化</w:t>
      </w:r>
      <w:r>
        <w:rPr>
          <w:rFonts w:ascii="Arial" w:cs="Arial" w:eastAsia="Arial" w:hAnsi="Arial"/>
          <w:sz w:val="22"/>
          <w:szCs w:val="22"/>
        </w:rPr>
        <w:t xml:space="preserve">し、データ蓄積が加速。</w:t>
      </w:r>
    </w:p>
    <w:p>
      <w:pPr>
        <w:pStyle w:val="ListParagraph"/>
        <w:numPr>
          <w:ilvl w:val="0"/>
          <w:numId w:val="9"/>
        </w:numPr>
        <w:spacing w:after="200"/>
      </w:pPr>
      <w:r>
        <w:rPr>
          <w:rFonts w:ascii="Arial" w:cs="Arial" w:eastAsia="Arial" w:hAnsi="Arial"/>
          <w:b/>
          <w:bCs/>
          <w:sz w:val="22"/>
          <w:szCs w:val="22"/>
        </w:rPr>
        <w:t xml:space="preserve">行政対応の標準フォーマット化（第5層）</w:t>
      </w:r>
      <w:r>
        <w:rPr>
          <w:rFonts w:ascii="Arial" w:cs="Arial" w:eastAsia="Arial" w:hAnsi="Arial"/>
          <w:sz w:val="22"/>
          <w:szCs w:val="22"/>
        </w:rPr>
        <w:t xml:space="preserve">が間接的な導入動機を全層に波及させ、循環を不可逆にする。</w:t>
      </w:r>
    </w:p>
    <w:p>
      <w:pPr>
        <w:pStyle w:val="Heading1"/>
      </w:pPr>
      <w:r>
        <w:t xml:space="preserve">Go-to-Market 優先順位</w:t>
      </w:r>
    </w:p>
    <w:p>
      <w:pPr>
        <w:pStyle w:val="Heading2"/>
      </w:pPr>
      <w:r>
        <w:t xml:space="preserve">Phase 1：士業チャネルの確立</w:t>
      </w:r>
    </w:p>
    <w:p>
      <w:pPr>
        <w:spacing w:after="200"/>
      </w:pPr>
      <w:r>
        <w:rPr>
          <w:rFonts w:ascii="Arial" w:cs="Arial" w:eastAsia="Arial" w:hAnsi="Arial"/>
          <w:sz w:val="22"/>
          <w:szCs w:val="22"/>
        </w:rPr>
        <w:t xml:space="preserve">税理士（約8万人、月次で顧問先と接点、契約と証憑の両方を扱う）と弁護士（契約書そのものの専門家、ConPass機能との親和性最高）を最優先ターゲットとする。この2つの士業チャネルで第1層のデータ母数を構築する。</w:t>
      </w:r>
    </w:p>
    <w:p>
      <w:pPr>
        <w:pStyle w:val="Heading2"/>
      </w:pPr>
      <w:r>
        <w:t xml:space="preserve">Phase 2：監査法人の攻略</w:t>
      </w:r>
    </w:p>
    <w:p>
      <w:pPr>
        <w:spacing w:after="200"/>
      </w:pPr>
      <w:r>
        <w:rPr>
          <w:rFonts w:ascii="Arial" w:cs="Arial" w:eastAsia="Arial" w:hAnsi="Arial"/>
          <w:sz w:val="22"/>
          <w:szCs w:val="22"/>
        </w:rPr>
        <w:t xml:space="preserve">監査法人は被監査企業への導入強制力を持つ。士業の「推奨」を超える最も強力なデータ蓄積レバーであり、Phase 1でプロダクトが成熟した段階で攻める。</w:t>
      </w:r>
    </w:p>
    <w:p>
      <w:pPr>
        <w:pStyle w:val="Heading2"/>
      </w:pPr>
      <w:r>
        <w:t xml:space="preserve">Phase 3：業界団体OEM展開</w:t>
      </w:r>
    </w:p>
    <w:p>
      <w:pPr>
        <w:spacing w:after="200"/>
      </w:pPr>
      <w:r>
        <w:rPr>
          <w:rFonts w:ascii="Arial" w:cs="Arial" w:eastAsia="Arial" w:hAnsi="Arial"/>
          <w:sz w:val="22"/>
          <w:szCs w:val="22"/>
        </w:rPr>
        <w:t xml:space="preserve">Phase 1-2と並行して業界団体との関係構築を進め、ベンチマークDBの業種カバレッジを広げる。団体のロゴ・UIでラッピングした業界特化版を提供。</w:t>
      </w:r>
    </w:p>
    <w:p>
      <w:pPr>
        <w:pStyle w:val="Heading2"/>
      </w:pPr>
      <w:r>
        <w:t xml:space="preserve">Phase 4：金融機関連携</w:t>
      </w:r>
    </w:p>
    <w:p>
      <w:pPr>
        <w:spacing w:after="200"/>
      </w:pPr>
      <w:r>
        <w:rPr>
          <w:rFonts w:ascii="Arial" w:cs="Arial" w:eastAsia="Arial" w:hAnsi="Arial"/>
          <w:sz w:val="22"/>
          <w:szCs w:val="22"/>
        </w:rPr>
        <w:t xml:space="preserve">十分なデータが集まった段階で金融機関との連携を開始。ConPassスコアを融資・保険の評価指標に組み込み、商取引の信用インフラとしての地位を確立する。</w:t>
      </w:r>
    </w:p>
    <w:p>
      <w:pPr>
        <w:pBdr>
          <w:top w:val="single" w:color="1B4F72" w:sz="6" w:space="1"/>
        </w:pBdr>
        <w:spacing w:before="400"/>
      </w:pPr>
    </w:p>
    <w:p>
      <w:pPr>
        <w:spacing w:before="200" w:after="200"/>
      </w:pPr>
      <w:r>
        <w:rPr>
          <w:rFonts w:ascii="Arial" w:cs="Arial" w:eastAsia="Arial" w:hAnsi="Arial"/>
          <w:i/>
          <w:iCs/>
          <w:color w:val="1B4F72"/>
          <w:sz w:val="22"/>
          <w:szCs w:val="22"/>
        </w:rPr>
        <w:t xml:space="preserve">この全体像が回り始めると、ConPassは「契約管理ツール」ではなく「商取引の信用インフラ」になる。企業の信用力を契約ポートフォリオの健全性で測るという新しい評価軸を作ることが、商取引インテリジェンス・プラットフォームの最終的な社会的価値である。</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ConPass 販売戦略ペーパー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2026-02-15T15:49:03.187Z</dcterms:created>
  <dcterms:modified xsi:type="dcterms:W3CDTF">2026-02-15T15:49:03.188Z</dcterms:modified>
</cp:coreProperties>
</file>

<file path=docProps/custom.xml><?xml version="1.0" encoding="utf-8"?>
<Properties xmlns="http://schemas.openxmlformats.org/officeDocument/2006/custom-properties" xmlns:vt="http://schemas.openxmlformats.org/officeDocument/2006/docPropsVTypes"/>
</file>