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  <w:spacing w:before="0" w:after="60"/>
      </w:pPr>
      <w:r>
        <w:rPr>
          <w:rFonts w:ascii="Georgia" w:hAnsi="Georgia"/>
          <w:b/>
          <w:color w:val="101A2E"/>
          <w:sz w:val="40"/>
        </w:rPr>
        <w:t>The Contract Red-Flag Checklist</w:t>
      </w:r>
    </w:p>
    <w:p>
      <w:pPr>
        <w:jc w:val="center"/>
        <w:spacing w:after="280"/>
        <w:pBdr>
          <w:bottom w:val="single" w:sz="4" w:space="12" w:color="A9822F"/>
        </w:pBdr>
      </w:pPr>
      <w:r>
        <w:rPr>
          <w:rFonts w:ascii="Calibri" w:hAnsi="Calibri"/>
          <w:color w:val="595959"/>
          <w:sz w:val="18"/>
        </w:rPr>
        <w:t>Provided by KeepCounsel</w:t>
      </w:r>
    </w:p>
    <w:p>
      <w:pPr>
        <w:spacing w:after="300"/>
      </w:pPr>
      <w:r>
        <w:rPr>
          <w:rFonts w:ascii="Calibri" w:hAnsi="Calibri"/>
          <w:i/>
          <w:color w:val="333333"/>
          <w:sz w:val="21"/>
        </w:rPr>
        <w:t>The clauses that quietly cause the most damage in AI-drafted and templated contracts — the same ones I check for on every contract I review.</w:t>
      </w:r>
    </w:p>
    <w:p>
      <w:pPr>
        <w:spacing w:after="60"/>
        <w:ind w:left="380" w:hanging="380"/>
      </w:pPr>
      <w:r>
        <w:rPr>
          <w:rFonts w:ascii="Calibri" w:hAnsi="Calibri"/>
          <w:color w:val="101A2E"/>
          <w:sz w:val="22"/>
        </w:rPr>
        <w:t xml:space="preserve">☐  </w:t>
      </w:r>
      <w:r>
        <w:rPr>
          <w:rFonts w:ascii="Calibri" w:hAnsi="Calibri"/>
          <w:b/>
          <w:color w:val="101A2E"/>
          <w:sz w:val="21"/>
        </w:rPr>
        <w:t>1. The indemnity that sits outside the liability cap</w:t>
      </w:r>
    </w:p>
    <w:p>
      <w:pPr>
        <w:spacing w:after="220"/>
        <w:ind w:left="380"/>
      </w:pPr>
      <w:r>
        <w:rPr>
          <w:rFonts w:ascii="Calibri" w:hAnsi="Calibri"/>
          <w:color w:val="333333"/>
          <w:sz w:val="20"/>
        </w:rPr>
        <w:t>A cap that looks watertight can still leave you exposed to unlimited liability through an indemnity elsewhere in the same contract, without the two clauses ever saying so directly.</w:t>
      </w:r>
    </w:p>
    <w:p>
      <w:pPr>
        <w:spacing w:after="60"/>
        <w:ind w:left="380" w:hanging="380"/>
      </w:pPr>
      <w:r>
        <w:rPr>
          <w:rFonts w:ascii="Calibri" w:hAnsi="Calibri"/>
          <w:color w:val="101A2E"/>
          <w:sz w:val="22"/>
        </w:rPr>
        <w:t xml:space="preserve">☐  </w:t>
      </w:r>
      <w:r>
        <w:rPr>
          <w:rFonts w:ascii="Calibri" w:hAnsi="Calibri"/>
          <w:b/>
          <w:color w:val="101A2E"/>
          <w:sz w:val="21"/>
        </w:rPr>
        <w:t>2. Undefined or circular key terms</w:t>
      </w:r>
    </w:p>
    <w:p>
      <w:pPr>
        <w:spacing w:after="220"/>
        <w:ind w:left="380"/>
      </w:pPr>
      <w:r>
        <w:rPr>
          <w:rFonts w:ascii="Calibri" w:hAnsi="Calibri"/>
          <w:color w:val="333333"/>
          <w:sz w:val="20"/>
        </w:rPr>
        <w:t>Terms like "Confidential Information" or "Services" used constantly but never properly defined — or defined by reference to each other — leave room for disputes about what was actually agreed.</w:t>
      </w:r>
    </w:p>
    <w:p>
      <w:pPr>
        <w:spacing w:after="60"/>
        <w:ind w:left="380" w:hanging="380"/>
      </w:pPr>
      <w:r>
        <w:rPr>
          <w:rFonts w:ascii="Calibri" w:hAnsi="Calibri"/>
          <w:color w:val="101A2E"/>
          <w:sz w:val="22"/>
        </w:rPr>
        <w:t xml:space="preserve">☐  </w:t>
      </w:r>
      <w:r>
        <w:rPr>
          <w:rFonts w:ascii="Calibri" w:hAnsi="Calibri"/>
          <w:b/>
          <w:color w:val="101A2E"/>
          <w:sz w:val="21"/>
        </w:rPr>
        <w:t>3. One-sided termination rights</w:t>
      </w:r>
    </w:p>
    <w:p>
      <w:pPr>
        <w:spacing w:after="220"/>
        <w:ind w:left="380"/>
      </w:pPr>
      <w:r>
        <w:rPr>
          <w:rFonts w:ascii="Calibri" w:hAnsi="Calibri"/>
          <w:color w:val="333333"/>
          <w:sz w:val="20"/>
        </w:rPr>
        <w:t>Check whether only the other party can exit for convenience, or on shorter notice than you'd get — a common, easy-to-miss imbalance.</w:t>
      </w:r>
    </w:p>
    <w:p>
      <w:pPr>
        <w:spacing w:after="60"/>
        <w:ind w:left="380" w:hanging="380"/>
      </w:pPr>
      <w:r>
        <w:rPr>
          <w:rFonts w:ascii="Calibri" w:hAnsi="Calibri"/>
          <w:color w:val="101A2E"/>
          <w:sz w:val="22"/>
        </w:rPr>
        <w:t xml:space="preserve">☐  </w:t>
      </w:r>
      <w:r>
        <w:rPr>
          <w:rFonts w:ascii="Calibri" w:hAnsi="Calibri"/>
          <w:b/>
          <w:color w:val="101A2E"/>
          <w:sz w:val="21"/>
        </w:rPr>
        <w:t>4. Auto-renewal with no real notice window</w:t>
      </w:r>
    </w:p>
    <w:p>
      <w:pPr>
        <w:spacing w:after="220"/>
        <w:ind w:left="380"/>
      </w:pPr>
      <w:r>
        <w:rPr>
          <w:rFonts w:ascii="Calibri" w:hAnsi="Calibri"/>
          <w:color w:val="333333"/>
          <w:sz w:val="20"/>
        </w:rPr>
        <w:t>Contracts that silently roll over for another full term unless you cancel inside a narrow, easy-to-miss window — sometimes 60–90 days before a renewal nobody was tracking.</w:t>
      </w:r>
    </w:p>
    <w:p>
      <w:pPr>
        <w:spacing w:after="60"/>
        <w:ind w:left="380" w:hanging="380"/>
      </w:pPr>
      <w:r>
        <w:rPr>
          <w:rFonts w:ascii="Calibri" w:hAnsi="Calibri"/>
          <w:color w:val="101A2E"/>
          <w:sz w:val="22"/>
        </w:rPr>
        <w:t xml:space="preserve">☐  </w:t>
      </w:r>
      <w:r>
        <w:rPr>
          <w:rFonts w:ascii="Calibri" w:hAnsi="Calibri"/>
          <w:b/>
          <w:color w:val="101A2E"/>
          <w:sz w:val="21"/>
        </w:rPr>
        <w:t>5. IP assignment gaps</w:t>
      </w:r>
    </w:p>
    <w:p>
      <w:pPr>
        <w:spacing w:after="220"/>
        <w:ind w:left="380"/>
      </w:pPr>
      <w:r>
        <w:rPr>
          <w:rFonts w:ascii="Calibri" w:hAnsi="Calibri"/>
          <w:color w:val="333333"/>
          <w:sz w:val="20"/>
        </w:rPr>
        <w:t>Work built by a contractor or freelancer isn't automatically owned by the business that paid for it — if the contract doesn't expressly assign IP, you may not own what you think you own.</w:t>
      </w:r>
    </w:p>
    <w:p>
      <w:pPr>
        <w:spacing w:after="60"/>
        <w:ind w:left="380" w:hanging="380"/>
      </w:pPr>
      <w:r>
        <w:rPr>
          <w:rFonts w:ascii="Calibri" w:hAnsi="Calibri"/>
          <w:color w:val="101A2E"/>
          <w:sz w:val="22"/>
        </w:rPr>
        <w:t xml:space="preserve">☐  </w:t>
      </w:r>
      <w:r>
        <w:rPr>
          <w:rFonts w:ascii="Calibri" w:hAnsi="Calibri"/>
          <w:b/>
          <w:color w:val="101A2E"/>
          <w:sz w:val="21"/>
        </w:rPr>
        <w:t>6. Liability that only runs one way</w:t>
      </w:r>
    </w:p>
    <w:p>
      <w:pPr>
        <w:spacing w:after="220"/>
        <w:ind w:left="380"/>
      </w:pPr>
      <w:r>
        <w:rPr>
          <w:rFonts w:ascii="Calibri" w:hAnsi="Calibri"/>
          <w:color w:val="333333"/>
          <w:sz w:val="20"/>
        </w:rPr>
        <w:t>Your liability is capped, theirs isn't (or vice versa) — worth checking the cap clause actually applies symmetrically, not just where it first appears to.</w:t>
      </w:r>
    </w:p>
    <w:p>
      <w:pPr>
        <w:spacing w:after="60"/>
        <w:ind w:left="380" w:hanging="380"/>
      </w:pPr>
      <w:r>
        <w:rPr>
          <w:rFonts w:ascii="Calibri" w:hAnsi="Calibri"/>
          <w:color w:val="101A2E"/>
          <w:sz w:val="22"/>
        </w:rPr>
        <w:t xml:space="preserve">☐  </w:t>
      </w:r>
      <w:r>
        <w:rPr>
          <w:rFonts w:ascii="Calibri" w:hAnsi="Calibri"/>
          <w:b/>
          <w:color w:val="101A2E"/>
          <w:sz w:val="21"/>
        </w:rPr>
        <w:t>7. Missing or vague data protection obligations</w:t>
      </w:r>
    </w:p>
    <w:p>
      <w:pPr>
        <w:spacing w:after="220"/>
        <w:ind w:left="380"/>
      </w:pPr>
      <w:r>
        <w:rPr>
          <w:rFonts w:ascii="Calibri" w:hAnsi="Calibri"/>
          <w:color w:val="333333"/>
          <w:sz w:val="20"/>
        </w:rPr>
        <w:t>If personal data changes hands and there's no Data Processing Agreement (or the data protection clause is a single vague sentence), that's a compliance gap waiting to surface.</w:t>
      </w:r>
    </w:p>
    <w:p>
      <w:pPr>
        <w:spacing w:after="60"/>
        <w:ind w:left="380" w:hanging="380"/>
      </w:pPr>
      <w:r>
        <w:rPr>
          <w:rFonts w:ascii="Calibri" w:hAnsi="Calibri"/>
          <w:color w:val="101A2E"/>
          <w:sz w:val="22"/>
        </w:rPr>
        <w:t xml:space="preserve">☐  </w:t>
      </w:r>
      <w:r>
        <w:rPr>
          <w:rFonts w:ascii="Calibri" w:hAnsi="Calibri"/>
          <w:b/>
          <w:color w:val="101A2E"/>
          <w:sz w:val="21"/>
        </w:rPr>
        <w:t>8. Governing law defaulting to their home turf</w:t>
      </w:r>
    </w:p>
    <w:p>
      <w:pPr>
        <w:spacing w:after="220"/>
        <w:ind w:left="380"/>
      </w:pPr>
      <w:r>
        <w:rPr>
          <w:rFonts w:ascii="Calibri" w:hAnsi="Calibri"/>
          <w:color w:val="333333"/>
          <w:sz w:val="20"/>
        </w:rPr>
        <w:t>A dispute governed by a jurisdiction that isn't yours can quietly make enforcement far more expensive and slower than it needs to be.</w:t>
      </w:r>
    </w:p>
    <w:p>
      <w:pPr>
        <w:spacing w:after="60"/>
        <w:ind w:left="380" w:hanging="380"/>
      </w:pPr>
      <w:r>
        <w:rPr>
          <w:rFonts w:ascii="Calibri" w:hAnsi="Calibri"/>
          <w:color w:val="101A2E"/>
          <w:sz w:val="22"/>
        </w:rPr>
        <w:t xml:space="preserve">☐  </w:t>
      </w:r>
      <w:r>
        <w:rPr>
          <w:rFonts w:ascii="Calibri" w:hAnsi="Calibri"/>
          <w:b/>
          <w:color w:val="101A2E"/>
          <w:sz w:val="21"/>
        </w:rPr>
        <w:t>9. Boilerplate "entire agreement" clauses that override side-letters</w:t>
      </w:r>
    </w:p>
    <w:p>
      <w:pPr>
        <w:spacing w:after="220"/>
        <w:ind w:left="380"/>
      </w:pPr>
      <w:r>
        <w:rPr>
          <w:rFonts w:ascii="Calibri" w:hAnsi="Calibri"/>
          <w:color w:val="333333"/>
          <w:sz w:val="20"/>
        </w:rPr>
        <w:t>A standard "entire agreement" clause can accidentally wipe out an earlier signed side-letter or email agreement that both sides thought still applied.</w:t>
      </w:r>
    </w:p>
    <w:p>
      <w:pPr>
        <w:spacing w:after="60"/>
        <w:ind w:left="380" w:hanging="380"/>
      </w:pPr>
      <w:r>
        <w:rPr>
          <w:rFonts w:ascii="Calibri" w:hAnsi="Calibri"/>
          <w:color w:val="101A2E"/>
          <w:sz w:val="22"/>
        </w:rPr>
        <w:t xml:space="preserve">☐  </w:t>
      </w:r>
      <w:r>
        <w:rPr>
          <w:rFonts w:ascii="Calibri" w:hAnsi="Calibri"/>
          <w:b/>
          <w:color w:val="101A2E"/>
          <w:sz w:val="21"/>
        </w:rPr>
        <w:t>10. Vague "reasonable efforts" obligations</w:t>
      </w:r>
    </w:p>
    <w:p>
      <w:pPr>
        <w:spacing w:after="320"/>
        <w:ind w:left="380"/>
      </w:pPr>
      <w:r>
        <w:rPr>
          <w:rFonts w:ascii="Calibri" w:hAnsi="Calibri"/>
          <w:color w:val="333333"/>
          <w:sz w:val="20"/>
        </w:rPr>
        <w:t>"Reasonable efforts" and similar phrases sound protective but set no measurable standard — worth asking what would actually count as a breach.</w:t>
      </w:r>
    </w:p>
    <w:p>
      <w:pPr>
        <w:pBdr>
          <w:top w:val="single" w:sz="4" w:space="8" w:color="D9D2C4"/>
        </w:pBdr>
        <w:spacing w:before="200" w:after="0"/>
      </w:pPr>
      <w:r>
        <w:rPr>
          <w:rFonts w:ascii="Calibri" w:hAnsi="Calibri"/>
          <w:i/>
          <w:color w:val="8C8C8C"/>
          <w:sz w:val="18"/>
        </w:rPr>
        <w:t>Provided by KeepCounsel — hello@keepcounsel.io — keepcounsel.io.</w:t>
      </w:r>
    </w:p>
    <w:sectPr>
      <w:headerReference w:type="default" r:id="rId1"/>
      <w:footerReference w:type="default" r:id="rId2"/>
      <w:pgSz w:w="11906" w:h="16838"/>
      <w:pgMar w:top="1440" w:right="1440" w:bottom="1440" w:left="1440" w:header="708" w:footer="708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8" w:color="D9D2C4"/>
      </w:pBdr>
      <w:tabs>
        <w:tab w:val="right" w:pos="9350"/>
      </w:tabs>
      <w:spacing w:before="120"/>
    </w:pPr>
    <w:r>
      <w:rPr>
        <w:rFonts w:ascii="Calibri" w:hAnsi="Calibri"/>
        <w:color w:val="8C8C8C"/>
        <w:sz w:val="16"/>
      </w:rPr>
      <w:t>KeepCounsel — Contract Red-Flag Checklist — keepcounsel.io</w:t>
    </w:r>
    <w:r>
      <w:rPr>
        <w:rFonts w:ascii="Calibri" w:hAnsi="Calibri"/>
        <w:color w:val="8C8C8C"/>
        <w:sz w:val="16"/>
      </w:rPr>
      <w:tab/>
      <w:t xml:space="preserve">Page </w:t>
    </w:r>
    <w:r>
      <w:rPr>
        <w:rFonts w:ascii="Calibri" w:hAnsi="Calibri"/>
        <w:color w:val="8C8C8C"/>
        <w:sz w:val="16"/>
      </w:rPr>
      <w:fldChar w:fldCharType="begin"/>
    </w:r>
    <w:r>
      <w:rPr>
        <w:rFonts w:ascii="Calibri" w:hAnsi="Calibri"/>
        <w:color w:val="8C8C8C"/>
        <w:sz w:val="16"/>
      </w:rPr>
      <w:instrText xml:space="preserve"> PAGE </w:instrText>
    </w:r>
    <w:r>
      <w:rPr>
        <w:rFonts w:ascii="Calibri" w:hAnsi="Calibri"/>
        <w:color w:val="8C8C8C"/>
        <w:sz w:val="16"/>
      </w:rPr>
      <w:fldChar w:fldCharType="separate"/>
    </w:r>
    <w:r>
      <w:rPr>
        <w:rFonts w:ascii="Calibri" w:hAnsi="Calibri"/>
        <w:color w:val="8C8C8C"/>
        <w:sz w:val="16"/>
      </w:rPr>
      <w:t>1</w:t>
    </w:r>
    <w:r>
      <w:rPr>
        <w:rFonts w:ascii="Calibri" w:hAnsi="Calibri"/>
        <w:color w:val="8C8C8C"/>
        <w:sz w:val="16"/>
      </w:rPr>
      <w:fldChar w:fldCharType="end"/>
    </w:r>
  </w:p>
</w:ftr>
</file>

<file path=word/header1.xml><?xml version="1.0" encoding="utf-8"?>
<w:hdr xmlns:w="http://schemas.openxmlformats.org/wordprocessingml/2006/main">
  <w:p>
    <w:pPr>
      <w:pBdr>
        <w:bottom w:val="single" w:sz="6" w:space="8" w:color="A9822F"/>
      </w:pBdr>
      <w:spacing w:after="0"/>
    </w:pPr>
    <w:r>
      <w:drawing>
        <wp:inline xmlns:wp="http://schemas.openxmlformats.org/drawingml/2006/wordprocessingDrawing" distT="0" distB="0" distL="0" distR="45720">
          <wp:extent cx="140000" cy="140000"/>
          <wp:effectExtent l="0" t="0" r="0" b="0"/>
          <wp:docPr id="601" name="KeepCounsel 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1" name="KeepCounsel Mark"/>
                  <pic:cNvPicPr/>
                </pic:nvPicPr>
                <pic:blipFill>
                  <a:blip xmlns:r="http://schemas.openxmlformats.org/officeDocument/2006/relationships" r:embed="rId1"/>
                  <a:stretch>
                    <a:fillRect/>
                  </a:stretch>
                </pic:blipFill>
                <pic:spPr>
                  <a:xfrm>
                    <a:off x="0" y="0"/>
                    <a:ext cx="140000" cy="14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Georgia" w:hAnsi="Georgia"/>
        <w:b/>
        <w:color w:val="101A2E"/>
        <w:sz w:val="18"/>
      </w:rPr>
      <w:t>Keep</w:t>
    </w:r>
    <w:r>
      <w:rPr>
        <w:rFonts w:ascii="Georgia" w:hAnsi="Georgia"/>
        <w:b/>
        <w:color w:val="A9822F"/>
        <w:sz w:val="18"/>
      </w:rPr>
      <w:t>Counsel</w:t>
    </w:r>
  </w:p>
</w:hdr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header" Target="header1.xml"/><Relationship Id="rId2" Type="http://schemas.openxmlformats.org/officeDocument/2006/relationships/footer" Target="footer1.xml"/></Relationships>

</file>

<file path=word/_rels/header1.xml.rels>&#65279;<?xml version="1.0" encoding="UTF-8" standalone="yes"?><Relationships xmlns="http://schemas.openxmlformats.org/package/2006/relationships"><Relationship Id="rId1" Type="http://schemas.openxmlformats.org/officeDocument/2006/relationships/image" Target="media/logo1.png"/></Relationships>
</file>

<file path=docProps/app.xml><?xml version="1.0" encoding="utf-8"?>
<Properties xmlns="http://schemas.openxmlformats.org/officeDocument/2006/extended-properties">
  <Application>KeepCounsel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KeepCounsel Terms of Business</dc:title>
  <dc:creator>KeepCounsel</dc:creator>
  <cp:revision>1</cp:revision>
</cp:coreProperties>
</file>