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60"/>
      </w:pPr>
      <w:r>
        <w:rPr>
          <w:rFonts w:ascii="Georgia" w:hAnsi="Georgia"/>
          <w:b/>
          <w:color w:val="101A2E"/>
          <w:sz w:val="40"/>
        </w:rPr>
        <w:t>The Legal Health Check-list</w:t>
      </w:r>
    </w:p>
    <w:p>
      <w:pPr>
        <w:jc w:val="center"/>
        <w:spacing w:after="280"/>
        <w:pBdr>
          <w:bottom w:val="single" w:sz="4" w:space="12" w:color="A9822F"/>
        </w:pBdr>
      </w:pPr>
      <w:r>
        <w:rPr>
          <w:rFonts w:ascii="Calibri" w:hAnsi="Calibri"/>
          <w:color w:val="595959"/>
          <w:sz w:val="18"/>
        </w:rPr>
        <w:t>Provided by KeepCounsel</w:t>
      </w:r>
    </w:p>
    <w:p>
      <w:pPr>
        <w:spacing w:after="300"/>
      </w:pPr>
      <w:r>
        <w:rPr>
          <w:rFonts w:ascii="Calibri" w:hAnsi="Calibri"/>
          <w:i/>
          <w:color w:val="333333"/>
          <w:sz w:val="21"/>
        </w:rPr>
        <w:t>The core documents investors, acquirers and regulators actually ask for — score yourself against all nine in five minutes.</w:t>
      </w:r>
    </w:p>
    <w:p>
      <w:pPr>
        <w:spacing w:after="40"/>
      </w:pPr>
      <w:r>
        <w:rPr>
          <w:rFonts w:ascii="Calibri" w:hAnsi="Calibri"/>
          <w:b/>
          <w:color w:val="101A2E"/>
          <w:sz w:val="21"/>
        </w:rPr>
        <w:t>1. Founders' / shareholders' agreement</w:t>
      </w:r>
    </w:p>
    <w:p>
      <w:pPr>
        <w:spacing w:after="60"/>
      </w:pPr>
      <w:r>
        <w:rPr>
          <w:rFonts w:ascii="Calibri" w:hAnsi="Calibri"/>
          <w:color w:val="333333"/>
          <w:sz w:val="20"/>
        </w:rPr>
        <w:t>Sets out who owns what and what happens if a founder leaves — the first thing investors check.</w:t>
      </w:r>
    </w:p>
    <w:p>
      <w:pPr>
        <w:spacing w:after="240"/>
      </w:pPr>
      <w:r>
        <w:rPr>
          <w:rFonts w:ascii="Calibri" w:hAnsi="Calibri"/>
          <w:color w:val="101A2E"/>
          <w:sz w:val="20"/>
        </w:rPr>
        <w:t xml:space="preserve">☐ Have it    ☐ Missing    ☐ Not sure</w:t>
      </w:r>
    </w:p>
    <w:p>
      <w:pPr>
        <w:spacing w:after="40"/>
      </w:pPr>
      <w:r>
        <w:rPr>
          <w:rFonts w:ascii="Calibri" w:hAnsi="Calibri"/>
          <w:b/>
          <w:color w:val="101A2E"/>
          <w:sz w:val="21"/>
        </w:rPr>
        <w:t>2. IP assignment from every hire and contractor</w:t>
      </w:r>
    </w:p>
    <w:p>
      <w:pPr>
        <w:spacing w:after="60"/>
      </w:pPr>
      <w:r>
        <w:rPr>
          <w:rFonts w:ascii="Calibri" w:hAnsi="Calibri"/>
          <w:color w:val="333333"/>
          <w:sz w:val="20"/>
        </w:rPr>
        <w:t>Confirms the business actually owns what it thinks it built — a routine, easy-to-miss diligence question.</w:t>
      </w:r>
    </w:p>
    <w:p>
      <w:pPr>
        <w:spacing w:after="240"/>
      </w:pPr>
      <w:r>
        <w:rPr>
          <w:rFonts w:ascii="Calibri" w:hAnsi="Calibri"/>
          <w:color w:val="101A2E"/>
          <w:sz w:val="20"/>
        </w:rPr>
        <w:t xml:space="preserve">☐ Have it    ☐ Missing    ☐ Not sure</w:t>
      </w:r>
    </w:p>
    <w:p>
      <w:pPr>
        <w:spacing w:after="40"/>
      </w:pPr>
      <w:r>
        <w:rPr>
          <w:rFonts w:ascii="Calibri" w:hAnsi="Calibri"/>
          <w:b/>
          <w:color w:val="101A2E"/>
          <w:sz w:val="21"/>
        </w:rPr>
        <w:t>3. Terms of Service for the product</w:t>
      </w:r>
    </w:p>
    <w:p>
      <w:pPr>
        <w:spacing w:after="60"/>
      </w:pPr>
      <w:r>
        <w:rPr>
          <w:rFonts w:ascii="Calibri" w:hAnsi="Calibri"/>
          <w:color w:val="333333"/>
          <w:sz w:val="20"/>
        </w:rPr>
        <w:t>Governs your relationship with every customer — and limits your liability to them.</w:t>
      </w:r>
    </w:p>
    <w:p>
      <w:pPr>
        <w:spacing w:after="240"/>
      </w:pPr>
      <w:r>
        <w:rPr>
          <w:rFonts w:ascii="Calibri" w:hAnsi="Calibri"/>
          <w:color w:val="101A2E"/>
          <w:sz w:val="20"/>
        </w:rPr>
        <w:t xml:space="preserve">☐ Have it    ☐ Missing    ☐ Not sure</w:t>
      </w:r>
    </w:p>
    <w:p>
      <w:pPr>
        <w:spacing w:after="40"/>
      </w:pPr>
      <w:r>
        <w:rPr>
          <w:rFonts w:ascii="Calibri" w:hAnsi="Calibri"/>
          <w:b/>
          <w:color w:val="101A2E"/>
          <w:sz w:val="21"/>
        </w:rPr>
        <w:t>4. Privacy Policy</w:t>
      </w:r>
    </w:p>
    <w:p>
      <w:pPr>
        <w:spacing w:after="60"/>
      </w:pPr>
      <w:r>
        <w:rPr>
          <w:rFonts w:ascii="Calibri" w:hAnsi="Calibri"/>
          <w:color w:val="333333"/>
          <w:sz w:val="20"/>
        </w:rPr>
        <w:t>A basic UK GDPR requirement if you collect any personal data at all — almost every business does.</w:t>
      </w:r>
    </w:p>
    <w:p>
      <w:pPr>
        <w:spacing w:after="240"/>
      </w:pPr>
      <w:r>
        <w:rPr>
          <w:rFonts w:ascii="Calibri" w:hAnsi="Calibri"/>
          <w:color w:val="101A2E"/>
          <w:sz w:val="20"/>
        </w:rPr>
        <w:t xml:space="preserve">☐ Have it    ☐ Missing    ☐ Not sure</w:t>
      </w:r>
    </w:p>
    <w:p>
      <w:pPr>
        <w:spacing w:after="40"/>
      </w:pPr>
      <w:r>
        <w:rPr>
          <w:rFonts w:ascii="Calibri" w:hAnsi="Calibri"/>
          <w:b/>
          <w:color w:val="101A2E"/>
          <w:sz w:val="21"/>
        </w:rPr>
        <w:t>5. Data Processing Agreements with key vendors</w:t>
      </w:r>
    </w:p>
    <w:p>
      <w:pPr>
        <w:spacing w:after="60"/>
      </w:pPr>
      <w:r>
        <w:rPr>
          <w:rFonts w:ascii="Calibri" w:hAnsi="Calibri"/>
          <w:color w:val="333333"/>
          <w:sz w:val="20"/>
        </w:rPr>
        <w:t>Required wherever a vendor or processor handles personal data on your behalf.</w:t>
      </w:r>
    </w:p>
    <w:p>
      <w:pPr>
        <w:spacing w:after="240"/>
      </w:pPr>
      <w:r>
        <w:rPr>
          <w:rFonts w:ascii="Calibri" w:hAnsi="Calibri"/>
          <w:color w:val="101A2E"/>
          <w:sz w:val="20"/>
        </w:rPr>
        <w:t xml:space="preserve">☐ Have it    ☐ Missing    ☐ Not sure</w:t>
      </w:r>
    </w:p>
    <w:p>
      <w:pPr>
        <w:spacing w:after="40"/>
      </w:pPr>
      <w:r>
        <w:rPr>
          <w:rFonts w:ascii="Calibri" w:hAnsi="Calibri"/>
          <w:b/>
          <w:color w:val="101A2E"/>
          <w:sz w:val="21"/>
        </w:rPr>
        <w:t>6. Employment and consultancy agreements for all staff</w:t>
      </w:r>
    </w:p>
    <w:p>
      <w:pPr>
        <w:spacing w:after="60"/>
      </w:pPr>
      <w:r>
        <w:rPr>
          <w:rFonts w:ascii="Calibri" w:hAnsi="Calibri"/>
          <w:color w:val="333333"/>
          <w:sz w:val="20"/>
        </w:rPr>
        <w:t>Covers everyone doing work for the business, not just full-time employees.</w:t>
      </w:r>
    </w:p>
    <w:p>
      <w:pPr>
        <w:spacing w:after="240"/>
      </w:pPr>
      <w:r>
        <w:rPr>
          <w:rFonts w:ascii="Calibri" w:hAnsi="Calibri"/>
          <w:color w:val="101A2E"/>
          <w:sz w:val="20"/>
        </w:rPr>
        <w:t xml:space="preserve">☐ Have it    ☐ Missing    ☐ Not sure</w:t>
      </w:r>
    </w:p>
    <w:p>
      <w:pPr>
        <w:spacing w:after="40"/>
      </w:pPr>
      <w:r>
        <w:rPr>
          <w:rFonts w:ascii="Calibri" w:hAnsi="Calibri"/>
          <w:b/>
          <w:color w:val="101A2E"/>
          <w:sz w:val="21"/>
        </w:rPr>
        <w:t>7. Accurate, up-to-date cap table and share register</w:t>
      </w:r>
    </w:p>
    <w:p>
      <w:pPr>
        <w:spacing w:after="60"/>
      </w:pPr>
      <w:r>
        <w:rPr>
          <w:rFonts w:ascii="Calibri" w:hAnsi="Calibri"/>
          <w:color w:val="333333"/>
          <w:sz w:val="20"/>
        </w:rPr>
        <w:t>One of the first things a lawyer or investor checks — and one of the easiest things to let drift out of date.</w:t>
      </w:r>
    </w:p>
    <w:p>
      <w:pPr>
        <w:spacing w:after="240"/>
      </w:pPr>
      <w:r>
        <w:rPr>
          <w:rFonts w:ascii="Calibri" w:hAnsi="Calibri"/>
          <w:color w:val="101A2E"/>
          <w:sz w:val="20"/>
        </w:rPr>
        <w:t xml:space="preserve">☐ Have it    ☐ Missing    ☐ Not sure</w:t>
      </w:r>
    </w:p>
    <w:p>
      <w:pPr>
        <w:spacing w:after="40"/>
      </w:pPr>
      <w:r>
        <w:rPr>
          <w:rFonts w:ascii="Calibri" w:hAnsi="Calibri"/>
          <w:b/>
          <w:color w:val="101A2E"/>
          <w:sz w:val="21"/>
        </w:rPr>
        <w:t>8. Key customer and supplier contracts signed and on file</w:t>
      </w:r>
    </w:p>
    <w:p>
      <w:pPr>
        <w:spacing w:after="60"/>
      </w:pPr>
      <w:r>
        <w:rPr>
          <w:rFonts w:ascii="Calibri" w:hAnsi="Calibri"/>
          <w:color w:val="333333"/>
          <w:sz w:val="20"/>
        </w:rPr>
        <w:t>A verbally agreed deal isn't a filed contract — if it matters to the business, it needs to be signed and stored.</w:t>
      </w:r>
    </w:p>
    <w:p>
      <w:pPr>
        <w:spacing w:after="240"/>
      </w:pPr>
      <w:r>
        <w:rPr>
          <w:rFonts w:ascii="Calibri" w:hAnsi="Calibri"/>
          <w:color w:val="101A2E"/>
          <w:sz w:val="20"/>
        </w:rPr>
        <w:t xml:space="preserve">☐ Have it    ☐ Missing    ☐ Not sure</w:t>
      </w:r>
    </w:p>
    <w:p>
      <w:pPr>
        <w:spacing w:after="40"/>
      </w:pPr>
      <w:r>
        <w:rPr>
          <w:rFonts w:ascii="Calibri" w:hAnsi="Calibri"/>
          <w:b/>
          <w:color w:val="101A2E"/>
          <w:sz w:val="21"/>
        </w:rPr>
        <w:t>9. Board minutes or resolutions for major decisions</w:t>
      </w:r>
    </w:p>
    <w:p>
      <w:pPr>
        <w:spacing w:after="60"/>
      </w:pPr>
      <w:r>
        <w:rPr>
          <w:rFonts w:ascii="Calibri" w:hAnsi="Calibri"/>
          <w:color w:val="333333"/>
          <w:sz w:val="20"/>
        </w:rPr>
        <w:t>Option grants, fundraises and material contracts should have a paper trail showing they were properly approved.</w:t>
      </w:r>
    </w:p>
    <w:p>
      <w:pPr>
        <w:spacing w:after="320"/>
      </w:pPr>
      <w:r>
        <w:rPr>
          <w:rFonts w:ascii="Calibri" w:hAnsi="Calibri"/>
          <w:color w:val="101A2E"/>
          <w:sz w:val="20"/>
        </w:rPr>
        <w:t xml:space="preserve">☐ Have it    ☐ Missing    ☐ Not sure</w:t>
      </w:r>
    </w:p>
    <w:p>
      <w:pPr>
        <w:pBdr>
          <w:bottom w:val="single" w:sz="4" w:space="4" w:color="D9D2C4"/>
        </w:pBdr>
        <w:spacing w:before="120" w:after="160"/>
      </w:pPr>
      <w:r>
        <w:rPr>
          <w:rFonts w:ascii="Georgia" w:hAnsi="Georgia"/>
          <w:b/>
          <w:color w:val="101A2E"/>
          <w:sz w:val="22"/>
        </w:rPr>
        <w:t>Your score</w:t>
      </w:r>
    </w:p>
    <w:p>
      <w:pPr>
        <w:spacing w:after="80"/>
      </w:pPr>
      <w:r>
        <w:rPr>
          <w:rFonts w:ascii="Calibri" w:hAnsi="Calibri"/>
          <w:b/>
          <w:color w:val="101A2E"/>
          <w:sz w:val="20"/>
        </w:rPr>
        <w:t xml:space="preserve">7–9 in place: </w:t>
      </w:r>
      <w:r>
        <w:rPr>
          <w:rFonts w:ascii="Calibri" w:hAnsi="Calibri"/>
          <w:color w:val="333333"/>
          <w:sz w:val="20"/>
        </w:rPr>
        <w:t>in good shape.</w:t>
      </w:r>
    </w:p>
    <w:p>
      <w:pPr>
        <w:spacing w:after="80"/>
      </w:pPr>
      <w:r>
        <w:rPr>
          <w:rFonts w:ascii="Calibri" w:hAnsi="Calibri"/>
          <w:b/>
          <w:color w:val="101A2E"/>
          <w:sz w:val="20"/>
        </w:rPr>
        <w:t xml:space="preserve">4–6: </w:t>
      </w:r>
      <w:r>
        <w:rPr>
          <w:rFonts w:ascii="Calibri" w:hAnsi="Calibri"/>
          <w:color w:val="333333"/>
          <w:sz w:val="20"/>
        </w:rPr>
        <w:t>worth tidying up before anyone asks.</w:t>
      </w:r>
    </w:p>
    <w:p>
      <w:pPr>
        <w:spacing w:after="320"/>
      </w:pPr>
      <w:r>
        <w:rPr>
          <w:rFonts w:ascii="Calibri" w:hAnsi="Calibri"/>
          <w:b/>
          <w:color w:val="101A2E"/>
          <w:sz w:val="20"/>
        </w:rPr>
        <w:t xml:space="preserve">0–3: </w:t>
      </w:r>
      <w:r>
        <w:rPr>
          <w:rFonts w:ascii="Calibri" w:hAnsi="Calibri"/>
          <w:color w:val="333333"/>
          <w:sz w:val="20"/>
        </w:rPr>
        <w:t>this is worth a proper conversation, not just a DIY fix.</w:t>
      </w:r>
    </w:p>
    <w:p>
      <w:pPr>
        <w:pBdr>
          <w:top w:val="single" w:sz="4" w:space="8" w:color="D9D2C4"/>
        </w:pBdr>
        <w:spacing w:before="200" w:after="0"/>
      </w:pPr>
      <w:r>
        <w:rPr>
          <w:rFonts w:ascii="Calibri" w:hAnsi="Calibri"/>
          <w:i/>
          <w:color w:val="8C8C8C"/>
          <w:sz w:val="18"/>
        </w:rPr>
        <w:t>Provided by KeepCounsel — hello@keepcounsel.io — keepcounsel.io.</w:t>
      </w:r>
    </w:p>
    <w:sectPr>
      <w:headerReference w:type="default" r:id="rId1"/>
      <w:footerReference w:type="default" r:id="rId2"/>
      <w:pgSz w:w="11906" w:h="16838"/>
      <w:pgMar w:top="1440" w:right="1440" w:bottom="1440" w:left="1440" w:header="708" w:footer="708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8" w:color="D9D2C4"/>
      </w:pBdr>
      <w:tabs>
        <w:tab w:val="right" w:pos="9350"/>
      </w:tabs>
      <w:spacing w:before="120"/>
    </w:pPr>
    <w:r>
      <w:rPr>
        <w:rFonts w:ascii="Calibri" w:hAnsi="Calibri"/>
        <w:color w:val="8C8C8C"/>
        <w:sz w:val="16"/>
      </w:rPr>
      <w:t>KeepCounsel — Legal Health Check-list — keepcounsel.io</w:t>
    </w:r>
    <w:r>
      <w:rPr>
        <w:rFonts w:ascii="Calibri" w:hAnsi="Calibri"/>
        <w:color w:val="8C8C8C"/>
        <w:sz w:val="16"/>
      </w:rPr>
      <w:tab/>
      <w:t xml:space="preserve">Page </w:t>
    </w:r>
    <w:r>
      <w:rPr>
        <w:rFonts w:ascii="Calibri" w:hAnsi="Calibri"/>
        <w:color w:val="8C8C8C"/>
        <w:sz w:val="16"/>
      </w:rPr>
      <w:fldChar w:fldCharType="begin"/>
    </w:r>
    <w:r>
      <w:rPr>
        <w:rFonts w:ascii="Calibri" w:hAnsi="Calibri"/>
        <w:color w:val="8C8C8C"/>
        <w:sz w:val="16"/>
      </w:rPr>
      <w:instrText xml:space="preserve"> PAGE </w:instrText>
    </w:r>
    <w:r>
      <w:rPr>
        <w:rFonts w:ascii="Calibri" w:hAnsi="Calibri"/>
        <w:color w:val="8C8C8C"/>
        <w:sz w:val="16"/>
      </w:rPr>
      <w:fldChar w:fldCharType="separate"/>
    </w:r>
    <w:r>
      <w:rPr>
        <w:rFonts w:ascii="Calibri" w:hAnsi="Calibri"/>
        <w:color w:val="8C8C8C"/>
        <w:sz w:val="16"/>
      </w:rPr>
      <w:t>1</w:t>
    </w:r>
    <w:r>
      <w:rPr>
        <w:rFonts w:ascii="Calibri" w:hAnsi="Calibri"/>
        <w:color w:val="8C8C8C"/>
        <w:sz w:val="16"/>
      </w:rP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6" w:space="8" w:color="A9822F"/>
      </w:pBdr>
      <w:spacing w:after="0"/>
    </w:pPr>
    <w:r>
      <w:drawing>
        <wp:inline xmlns:wp="http://schemas.openxmlformats.org/drawingml/2006/wordprocessingDrawing" distT="0" distB="0" distL="0" distR="45720">
          <wp:extent cx="140000" cy="140000"/>
          <wp:effectExtent l="0" t="0" r="0" b="0"/>
          <wp:docPr id="601" name="KeepCounsel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1" name="KeepCounsel Mark"/>
                  <pic:cNvPicPr/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140000" cy="14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hAnsi="Georgia"/>
        <w:b/>
        <w:color w:val="101A2E"/>
        <w:sz w:val="18"/>
      </w:rPr>
      <w:t>Keep</w:t>
    </w:r>
    <w:r>
      <w:rPr>
        <w:rFonts w:ascii="Georgia" w:hAnsi="Georgia"/>
        <w:b/>
        <w:color w:val="A9822F"/>
        <w:sz w:val="18"/>
      </w:rPr>
      <w:t>Counsel</w:t>
    </w:r>
  </w:p>
</w:hdr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/Relationships>

</file>

<file path=word/_rels/header1.xml.rels>&#65279;<?xml version="1.0" encoding="UTF-8" standalone="yes"?><Relationships xmlns="http://schemas.openxmlformats.org/package/2006/relationships"><Relationship Id="rId1" Type="http://schemas.openxmlformats.org/officeDocument/2006/relationships/image" Target="media/logo1.png"/></Relationships>
</file>

<file path=docProps/app.xml><?xml version="1.0" encoding="utf-8"?>
<Properties xmlns="http://schemas.openxmlformats.org/officeDocument/2006/extended-properties">
  <Application>KeepCounsel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KeepCounsel Terms of Business</dc:title>
  <dc:creator>KeepCounsel</dc:creator>
  <cp:revision>1</cp:revision>
</cp:coreProperties>
</file>