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/>
      </w:pPr>
      <w:r>
        <w:rPr>
          <w:rFonts w:ascii="Georgia" w:hAnsi="Georgia"/>
          <w:b/>
          <w:color w:val="101A2E"/>
          <w:sz w:val="32"/>
        </w:rPr>
        <w:t>The Contract Red-Flag Checklist</w:t>
      </w:r>
    </w:p>
    <w:p>
      <w:pPr>
        <w:jc w:val="center"/>
        <w:spacing w:after="200"/>
        <w:pBdr>
          <w:bottom w:val="single" w:sz="4" w:space="8" w:color="A9822F"/>
        </w:pBdr>
      </w:pPr>
      <w:r>
        <w:rPr>
          <w:rFonts w:ascii="Calibri" w:hAnsi="Calibri"/>
          <w:color w:val="595959"/>
          <w:sz w:val="15"/>
        </w:rPr>
        <w:t>The clauses that quietly cause the most damage in AI-drafted and templated contracts — the same ones I check for on every contract I review.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1. The indemnity outside the liability cap — </w:t>
      </w:r>
      <w:r>
        <w:rPr>
          <w:rFonts w:ascii="Calibri" w:hAnsi="Calibri"/>
          <w:color w:val="333333"/>
          <w:sz w:val="17"/>
        </w:rPr>
        <w:t>a cap that looks watertight can still leave unlimited exposure through an indemnity elsewhere, without the two clauses ever saying so.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2. Undefined or circular key terms — </w:t>
      </w:r>
      <w:r>
        <w:rPr>
          <w:rFonts w:ascii="Calibri" w:hAnsi="Calibri"/>
          <w:color w:val="333333"/>
          <w:sz w:val="17"/>
        </w:rPr>
        <w:t>terms used constantly but never properly defined leave room for disputes about what was agreed.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3. One-sided termination rights — </w:t>
      </w:r>
      <w:r>
        <w:rPr>
          <w:rFonts w:ascii="Calibri" w:hAnsi="Calibri"/>
          <w:color w:val="333333"/>
          <w:sz w:val="17"/>
        </w:rPr>
        <w:t>check whether only the other party can exit for convenience, or on shorter notice than you'd get.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4. Auto-renewal with no real notice window — </w:t>
      </w:r>
      <w:r>
        <w:rPr>
          <w:rFonts w:ascii="Calibri" w:hAnsi="Calibri"/>
          <w:color w:val="333333"/>
          <w:sz w:val="17"/>
        </w:rPr>
        <w:t>contracts silently rolling over unless cancelled inside a narrow, easy-to-miss window.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5. IP assignment gaps — </w:t>
      </w:r>
      <w:r>
        <w:rPr>
          <w:rFonts w:ascii="Calibri" w:hAnsi="Calibri"/>
          <w:color w:val="333333"/>
          <w:sz w:val="17"/>
        </w:rPr>
        <w:t>work built by a contractor isn't automatically owned by the business that paid for it unless the contract expressly assigns it.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6. Liability that only runs one way — </w:t>
      </w:r>
      <w:r>
        <w:rPr>
          <w:rFonts w:ascii="Calibri" w:hAnsi="Calibri"/>
          <w:color w:val="333333"/>
          <w:sz w:val="17"/>
        </w:rPr>
        <w:t>your liability is capped, theirs isn't (or vice versa) — check the cap applies symmetrically.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7. Missing or vague data protection obligations — </w:t>
      </w:r>
      <w:r>
        <w:rPr>
          <w:rFonts w:ascii="Calibri" w:hAnsi="Calibri"/>
          <w:color w:val="333333"/>
          <w:sz w:val="17"/>
        </w:rPr>
        <w:t>personal data changing hands with no DPA, or one vague sentence, is a compliance gap waiting to surface.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8. Governing law defaulting to their home turf — </w:t>
      </w:r>
      <w:r>
        <w:rPr>
          <w:rFonts w:ascii="Calibri" w:hAnsi="Calibri"/>
          <w:color w:val="333333"/>
          <w:sz w:val="17"/>
        </w:rPr>
        <w:t>a jurisdiction that isn't yours can quietly make enforcement far more expensive and slower.</w:t>
      </w:r>
    </w:p>
    <w:p>
      <w:pPr>
        <w:spacing w:after="11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9. Boilerplate "entire agreement" clauses — </w:t>
      </w:r>
      <w:r>
        <w:rPr>
          <w:rFonts w:ascii="Calibri" w:hAnsi="Calibri"/>
          <w:color w:val="333333"/>
          <w:sz w:val="17"/>
        </w:rPr>
        <w:t>can accidentally wipe out an earlier signed side-letter or email agreement both sides thought still applied.</w:t>
      </w:r>
    </w:p>
    <w:p>
      <w:pPr>
        <w:spacing w:after="220"/>
        <w:ind w:left="300" w:hanging="300"/>
      </w:pPr>
      <w:r>
        <w:rPr>
          <w:rFonts w:ascii="Calibri" w:hAnsi="Calibri"/>
          <w:color w:val="101A2E"/>
          <w:sz w:val="19"/>
        </w:rPr>
        <w:t xml:space="preserve">☐ </w:t>
      </w:r>
      <w:r>
        <w:rPr>
          <w:rFonts w:ascii="Calibri" w:hAnsi="Calibri"/>
          <w:b/>
          <w:color w:val="101A2E"/>
          <w:sz w:val="17"/>
        </w:rPr>
        <w:t xml:space="preserve">10. Vague "reasonable efforts" obligations — </w:t>
      </w:r>
      <w:r>
        <w:rPr>
          <w:rFonts w:ascii="Calibri" w:hAnsi="Calibri"/>
          <w:color w:val="333333"/>
          <w:sz w:val="17"/>
        </w:rPr>
        <w:t>sounds protective but sets no measurable standard for what would actually count as a breach.</w:t>
      </w:r>
    </w:p>
    <w:p>
      <w:pPr>
        <w:pBdr>
          <w:top w:val="single" w:sz="4" w:space="8" w:color="D9D2C4"/>
        </w:pBdr>
        <w:spacing w:before="80" w:after="0"/>
      </w:pPr>
      <w:r>
        <w:rPr>
          <w:rFonts w:ascii="Calibri" w:hAnsi="Calibri"/>
          <w:i/>
          <w:color w:val="8C8C8C"/>
          <w:sz w:val="15"/>
        </w:rPr>
        <w:t xml:space="preserve">Provided by </w:t>
      </w:r>
      <w:hyperlink r:id="rIdLink1">
        <w:r>
          <w:rPr>
            <w:rFonts w:ascii="Calibri" w:hAnsi="Calibri"/>
            <w:i/>
            <w:color w:val="A9822F"/>
            <w:u w:val="single"/>
            <w:sz w:val="15"/>
          </w:rPr>
          <w:t>KeepCounsel — keepcounsel.io</w:t>
        </w:r>
      </w:hyperlink>
      <w:r>
        <w:rPr>
          <w:rFonts w:ascii="Calibri" w:hAnsi="Calibri"/>
          <w:i/>
          <w:color w:val="8C8C8C"/>
          <w:sz w:val="15"/>
        </w:rPr>
        <w:t>.</w:t>
      </w:r>
    </w:p>
    <w:sectPr>
      <w:headerReference w:type="default" r:id="rId1"/>
      <w:footerReference w:type="default" r:id="rId2"/>
      <w:pgSz w:w="11906" w:h="16838"/>
      <w:pgMar w:top="900" w:right="1200" w:bottom="900" w:left="1200" w:header="500" w:footer="5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8" w:color="D9D2C4"/>
      </w:pBdr>
      <w:tabs>
        <w:tab w:val="right" w:pos="9350"/>
      </w:tabs>
      <w:spacing w:before="120"/>
    </w:pPr>
    <w:r>
      <w:rPr>
        <w:rFonts w:ascii="Calibri" w:hAnsi="Calibri"/>
        <w:color w:val="8C8C8C"/>
        <w:sz w:val="16"/>
      </w:rPr>
      <w:t>KeepCounsel — Contract Red-Flag Checklist — keepcounsel.io</w:t>
    </w:r>
    <w:r>
      <w:rPr>
        <w:rFonts w:ascii="Calibri" w:hAnsi="Calibri"/>
        <w:color w:val="8C8C8C"/>
        <w:sz w:val="16"/>
      </w:rPr>
      <w:tab/>
      <w:t xml:space="preserve">Page </w:t>
    </w:r>
    <w:r>
      <w:rPr>
        <w:rFonts w:ascii="Calibri" w:hAnsi="Calibri"/>
        <w:color w:val="8C8C8C"/>
        <w:sz w:val="16"/>
      </w:rPr>
      <w:fldChar w:fldCharType="begin"/>
    </w:r>
    <w:r>
      <w:rPr>
        <w:rFonts w:ascii="Calibri" w:hAnsi="Calibri"/>
        <w:color w:val="8C8C8C"/>
        <w:sz w:val="16"/>
      </w:rPr>
      <w:instrText xml:space="preserve"> PAGE </w:instrText>
    </w:r>
    <w:r>
      <w:rPr>
        <w:rFonts w:ascii="Calibri" w:hAnsi="Calibri"/>
        <w:color w:val="8C8C8C"/>
        <w:sz w:val="16"/>
      </w:rPr>
      <w:fldChar w:fldCharType="separate"/>
    </w:r>
    <w:r>
      <w:rPr>
        <w:rFonts w:ascii="Calibri" w:hAnsi="Calibri"/>
        <w:color w:val="8C8C8C"/>
        <w:sz w:val="16"/>
      </w:rPr>
      <w:t>1</w:t>
    </w:r>
    <w:r>
      <w:rPr>
        <w:rFonts w:ascii="Calibri" w:hAnsi="Calibri"/>
        <w:color w:val="8C8C8C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8" w:color="A9822F"/>
      </w:pBdr>
      <w:spacing w:after="0"/>
    </w:pPr>
    <w:r>
      <w:drawing>
        <wp:inline xmlns:wp="http://schemas.openxmlformats.org/drawingml/2006/wordprocessingDrawing" distT="0" distB="0" distL="0" distR="45720">
          <wp:extent cx="140000" cy="140000"/>
          <wp:effectExtent l="0" t="0" r="0" b="0"/>
          <wp:docPr id="601" name="KeepCounsel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" name="KeepCounsel Mark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40000" cy="1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hyperlink r:id="rId2">
      <w:r>
        <w:rPr>
          <w:rFonts w:ascii="Georgia" w:hAnsi="Georgia"/>
          <w:b/>
          <w:color w:val="101A2E"/>
          <w:sz w:val="18"/>
        </w:rPr>
        <w:t>Keep</w:t>
      </w:r>
      <w:r>
        <w:rPr>
          <w:rFonts w:ascii="Georgia" w:hAnsi="Georgia"/>
          <w:b/>
          <w:color w:val="A9822F"/>
          <w:sz w:val="18"/>
        </w:rPr>
        <w:t>Counsel</w:t>
      </w:r>
    </w:hyperlink>
  </w:p>
</w:hdr>
</file>

<file path=word/_rels/document.xml.rels>&#65279;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Link1" Type="http://schemas.openxmlformats.org/officeDocument/2006/relationships/hyperlink" Target="https://keepcounsel.io" TargetMode="External"/></Relationships>
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logo1.png"/><Relationship Id="rId2" Type="http://schemas.openxmlformats.org/officeDocument/2006/relationships/hyperlink" Target="https://keepcounsel.io" TargetMode="External"/></Relationships>
</file>

<file path=docProps/app.xml><?xml version="1.0" encoding="utf-8"?>
<Properties xmlns="http://schemas.openxmlformats.org/officeDocument/2006/extended-properties">
  <Application>KeepCounsel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KeepCounsel Terms of Business</dc:title>
  <dc:creator>KeepCounsel</dc:creator>
  <cp:revision>1</cp:revision>
</cp:coreProperties>
</file>