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40"/>
      </w:pPr>
      <w:r>
        <w:rPr>
          <w:rFonts w:ascii="Georgia" w:hAnsi="Georgia"/>
          <w:b/>
          <w:color w:val="101A2E"/>
          <w:sz w:val="32"/>
        </w:rPr>
        <w:t>The Legal Health Check-list</w:t>
      </w:r>
    </w:p>
    <w:p>
      <w:pPr>
        <w:jc w:val="center"/>
        <w:spacing w:after="160"/>
        <w:pBdr>
          <w:bottom w:val="single" w:sz="4" w:space="8" w:color="A9822F"/>
        </w:pBdr>
      </w:pPr>
      <w:r>
        <w:rPr>
          <w:rFonts w:ascii="Calibri" w:hAnsi="Calibri"/>
          <w:color w:val="595959"/>
          <w:sz w:val="15"/>
        </w:rPr>
        <w:t>The core documents investors, acquirers and regulators actually ask for. A five-minute self-check — see the note at the bottom on what it doesn't tell you.</w:t>
      </w:r>
    </w:p>
    <w:p>
      <w:pPr>
        <w:spacing w:after="80"/>
        <w:tabs>
          <w:tab w:val="right" w:pos="9150"/>
        </w:tabs>
      </w:pPr>
      <w:r>
        <w:rPr>
          <w:rFonts w:ascii="Calibri" w:hAnsi="Calibri"/>
          <w:b/>
          <w:color w:val="101A2E"/>
          <w:sz w:val="17"/>
        </w:rPr>
        <w:t xml:space="preserve">1. Founders' / shareholders' agreement </w:t>
      </w:r>
      <w:r>
        <w:rPr>
          <w:rFonts w:ascii="Calibri" w:hAnsi="Calibri"/>
          <w:color w:val="333333"/>
          <w:sz w:val="16"/>
        </w:rPr>
        <w:t>— who owns what, and what happens if someone leaves.</w:t>
      </w:r>
      <w:r>
        <w:rPr>
          <w:rFonts w:ascii="Calibri" w:hAnsi="Calibri"/>
          <w:color w:val="101A2E"/>
          <w:sz w:val="16"/>
        </w:rPr>
        <w:tab/>
        <w:t>☐ Have   ☐ Missing   ☐ Not sure</w:t>
      </w:r>
    </w:p>
    <w:p>
      <w:pPr>
        <w:spacing w:after="80"/>
        <w:tabs>
          <w:tab w:val="right" w:pos="9150"/>
        </w:tabs>
      </w:pPr>
      <w:r>
        <w:rPr>
          <w:rFonts w:ascii="Calibri" w:hAnsi="Calibri"/>
          <w:b/>
          <w:color w:val="101A2E"/>
          <w:sz w:val="17"/>
        </w:rPr>
        <w:t xml:space="preserve">2. IP assignment from every hire and contractor </w:t>
      </w:r>
      <w:r>
        <w:rPr>
          <w:rFonts w:ascii="Calibri" w:hAnsi="Calibri"/>
          <w:color w:val="333333"/>
          <w:sz w:val="16"/>
        </w:rPr>
        <w:t>— confirms you own what you think you built.</w:t>
      </w:r>
      <w:r>
        <w:rPr>
          <w:rFonts w:ascii="Calibri" w:hAnsi="Calibri"/>
          <w:color w:val="101A2E"/>
          <w:sz w:val="16"/>
        </w:rPr>
        <w:tab/>
        <w:t>☐ Have   ☐ Missing   ☐ Not sure</w:t>
      </w:r>
    </w:p>
    <w:p>
      <w:pPr>
        <w:spacing w:after="80"/>
        <w:tabs>
          <w:tab w:val="right" w:pos="9150"/>
        </w:tabs>
      </w:pPr>
      <w:r>
        <w:rPr>
          <w:rFonts w:ascii="Calibri" w:hAnsi="Calibri"/>
          <w:b/>
          <w:color w:val="101A2E"/>
          <w:sz w:val="17"/>
        </w:rPr>
        <w:t xml:space="preserve">3. Terms of Service for the product </w:t>
      </w:r>
      <w:r>
        <w:rPr>
          <w:rFonts w:ascii="Calibri" w:hAnsi="Calibri"/>
          <w:color w:val="333333"/>
          <w:sz w:val="16"/>
        </w:rPr>
        <w:t>— governs every customer relationship and limits your liability.</w:t>
      </w:r>
      <w:r>
        <w:rPr>
          <w:rFonts w:ascii="Calibri" w:hAnsi="Calibri"/>
          <w:color w:val="101A2E"/>
          <w:sz w:val="16"/>
        </w:rPr>
        <w:tab/>
        <w:t>☐ Have   ☐ Missing   ☐ Not sure</w:t>
      </w:r>
    </w:p>
    <w:p>
      <w:pPr>
        <w:spacing w:after="80"/>
        <w:tabs>
          <w:tab w:val="right" w:pos="9150"/>
        </w:tabs>
      </w:pPr>
      <w:r>
        <w:rPr>
          <w:rFonts w:ascii="Calibri" w:hAnsi="Calibri"/>
          <w:b/>
          <w:color w:val="101A2E"/>
          <w:sz w:val="17"/>
        </w:rPr>
        <w:t xml:space="preserve">4. Privacy Policy </w:t>
      </w:r>
      <w:r>
        <w:rPr>
          <w:rFonts w:ascii="Calibri" w:hAnsi="Calibri"/>
          <w:color w:val="333333"/>
          <w:sz w:val="16"/>
        </w:rPr>
        <w:t>— a basic UK GDPR requirement if you collect any personal data.</w:t>
      </w:r>
      <w:r>
        <w:rPr>
          <w:rFonts w:ascii="Calibri" w:hAnsi="Calibri"/>
          <w:color w:val="101A2E"/>
          <w:sz w:val="16"/>
        </w:rPr>
        <w:tab/>
        <w:t>☐ Have   ☐ Missing   ☐ Not sure</w:t>
      </w:r>
    </w:p>
    <w:p>
      <w:pPr>
        <w:spacing w:after="80"/>
        <w:tabs>
          <w:tab w:val="right" w:pos="9150"/>
        </w:tabs>
      </w:pPr>
      <w:r>
        <w:rPr>
          <w:rFonts w:ascii="Calibri" w:hAnsi="Calibri"/>
          <w:b/>
          <w:color w:val="101A2E"/>
          <w:sz w:val="17"/>
        </w:rPr>
        <w:t xml:space="preserve">5. Data Processing Agreements with key vendors </w:t>
      </w:r>
      <w:r>
        <w:rPr>
          <w:rFonts w:ascii="Calibri" w:hAnsi="Calibri"/>
          <w:color w:val="333333"/>
          <w:sz w:val="16"/>
        </w:rPr>
        <w:t>— required wherever a vendor processes personal data for you.</w:t>
      </w:r>
      <w:r>
        <w:rPr>
          <w:rFonts w:ascii="Calibri" w:hAnsi="Calibri"/>
          <w:color w:val="101A2E"/>
          <w:sz w:val="16"/>
        </w:rPr>
        <w:tab/>
        <w:t>☐ Have   ☐ Missing   ☐ Not sure</w:t>
      </w:r>
    </w:p>
    <w:p>
      <w:pPr>
        <w:spacing w:after="80"/>
        <w:tabs>
          <w:tab w:val="right" w:pos="9150"/>
        </w:tabs>
      </w:pPr>
      <w:r>
        <w:rPr>
          <w:rFonts w:ascii="Calibri" w:hAnsi="Calibri"/>
          <w:b/>
          <w:color w:val="101A2E"/>
          <w:sz w:val="17"/>
        </w:rPr>
        <w:t xml:space="preserve">6. Employment and consultancy agreements </w:t>
      </w:r>
      <w:r>
        <w:rPr>
          <w:rFonts w:ascii="Calibri" w:hAnsi="Calibri"/>
          <w:color w:val="333333"/>
          <w:sz w:val="16"/>
        </w:rPr>
        <w:t>— covers everyone doing work for the business.</w:t>
      </w:r>
      <w:r>
        <w:rPr>
          <w:rFonts w:ascii="Calibri" w:hAnsi="Calibri"/>
          <w:color w:val="101A2E"/>
          <w:sz w:val="16"/>
        </w:rPr>
        <w:tab/>
        <w:t>☐ Have   ☐ Missing   ☐ Not sure</w:t>
      </w:r>
    </w:p>
    <w:p>
      <w:pPr>
        <w:spacing w:after="80"/>
        <w:tabs>
          <w:tab w:val="right" w:pos="9150"/>
        </w:tabs>
      </w:pPr>
      <w:r>
        <w:rPr>
          <w:rFonts w:ascii="Calibri" w:hAnsi="Calibri"/>
          <w:b/>
          <w:color w:val="101A2E"/>
          <w:sz w:val="17"/>
        </w:rPr>
        <w:t xml:space="preserve">7. Accurate, up-to-date cap table </w:t>
      </w:r>
      <w:r>
        <w:rPr>
          <w:rFonts w:ascii="Calibri" w:hAnsi="Calibri"/>
          <w:color w:val="333333"/>
          <w:sz w:val="16"/>
        </w:rPr>
        <w:t>— one of the first things a lawyer or investor checks.</w:t>
      </w:r>
      <w:r>
        <w:rPr>
          <w:rFonts w:ascii="Calibri" w:hAnsi="Calibri"/>
          <w:color w:val="101A2E"/>
          <w:sz w:val="16"/>
        </w:rPr>
        <w:tab/>
        <w:t>☐ Have   ☐ Missing   ☐ Not sure</w:t>
      </w:r>
    </w:p>
    <w:p>
      <w:pPr>
        <w:spacing w:after="80"/>
        <w:tabs>
          <w:tab w:val="right" w:pos="9150"/>
        </w:tabs>
      </w:pPr>
      <w:r>
        <w:rPr>
          <w:rFonts w:ascii="Calibri" w:hAnsi="Calibri"/>
          <w:b/>
          <w:color w:val="101A2E"/>
          <w:sz w:val="17"/>
        </w:rPr>
        <w:t xml:space="preserve">8. Key customer/supplier contracts on file, signed </w:t>
      </w:r>
      <w:r>
        <w:rPr>
          <w:rFonts w:ascii="Calibri" w:hAnsi="Calibri"/>
          <w:color w:val="333333"/>
          <w:sz w:val="16"/>
        </w:rPr>
        <w:t>— a verbal deal isn't a filed contract.</w:t>
      </w:r>
      <w:r>
        <w:rPr>
          <w:rFonts w:ascii="Calibri" w:hAnsi="Calibri"/>
          <w:color w:val="101A2E"/>
          <w:sz w:val="16"/>
        </w:rPr>
        <w:tab/>
        <w:t>☐ Have   ☐ Missing   ☐ Not sure</w:t>
      </w:r>
    </w:p>
    <w:p>
      <w:pPr>
        <w:spacing w:after="180"/>
        <w:tabs>
          <w:tab w:val="right" w:pos="9150"/>
        </w:tabs>
      </w:pPr>
      <w:r>
        <w:rPr>
          <w:rFonts w:ascii="Calibri" w:hAnsi="Calibri"/>
          <w:b/>
          <w:color w:val="101A2E"/>
          <w:sz w:val="17"/>
        </w:rPr>
        <w:t xml:space="preserve">9. Board minutes for major decisions </w:t>
      </w:r>
      <w:r>
        <w:rPr>
          <w:rFonts w:ascii="Calibri" w:hAnsi="Calibri"/>
          <w:color w:val="333333"/>
          <w:sz w:val="16"/>
        </w:rPr>
        <w:t>— option grants, fundraises, material contracts.</w:t>
      </w:r>
      <w:r>
        <w:rPr>
          <w:rFonts w:ascii="Calibri" w:hAnsi="Calibri"/>
          <w:color w:val="101A2E"/>
          <w:sz w:val="16"/>
        </w:rPr>
        <w:tab/>
        <w:t>☐ Have   ☐ Missing   ☐ Not sure</w:t>
      </w:r>
    </w:p>
    <w:p>
      <w:pPr>
        <w:pBdr>
          <w:bottom w:val="single" w:sz="4" w:space="4" w:color="D9D2C4"/>
        </w:pBdr>
        <w:spacing w:before="0" w:after="100"/>
      </w:pPr>
      <w:r>
        <w:rPr>
          <w:rFonts w:ascii="Calibri" w:hAnsi="Calibri"/>
          <w:b/>
          <w:color w:val="101A2E"/>
          <w:sz w:val="17"/>
        </w:rPr>
        <w:t xml:space="preserve">Your score — </w:t>
      </w:r>
      <w:r>
        <w:rPr>
          <w:rFonts w:ascii="Calibri" w:hAnsi="Calibri"/>
          <w:color w:val="333333"/>
          <w:sz w:val="16"/>
        </w:rPr>
        <w:t xml:space="preserve">7–9: in good shape.  4–6: worth tidying up before anyone asks.  0–3: worth a proper conversation, not just a DIY fix.</w:t>
      </w:r>
    </w:p>
    <w:p>
      <w:pPr>
        <w:spacing w:before="100" w:after="0"/>
      </w:pPr>
      <w:r>
        <w:rPr>
          <w:rFonts w:ascii="Calibri" w:hAnsi="Calibri"/>
          <w:i/>
          <w:color w:val="333333"/>
          <w:sz w:val="15"/>
        </w:rPr>
        <w:t xml:space="preserve">This is a five-minute self-check, not a professional review — it tells you what might be missing, not whether what you do have actually holds up. The paid </w:t>
      </w:r>
      <w:r>
        <w:rPr>
          <w:rFonts w:ascii="Calibri" w:hAnsi="Calibri"/>
          <w:b/>
          <w:i/>
          <w:color w:val="101A2E"/>
          <w:sz w:val="15"/>
        </w:rPr>
        <w:t>Legal Health Check</w:t>
      </w:r>
      <w:r>
        <w:rPr>
          <w:rFonts w:ascii="Calibri" w:hAnsi="Calibri"/>
          <w:i/>
          <w:color w:val="333333"/>
          <w:sz w:val="15"/>
        </w:rPr>
        <w:t xml:space="preserve"> (from £750) goes further: I personally review the documents themselves, not just whether they exist, and give you a prioritised plan for fixing what's wrong.</w:t>
      </w:r>
    </w:p>
    <w:p>
      <w:pPr>
        <w:pBdr>
          <w:top w:val="single" w:sz="4" w:space="8" w:color="D9D2C4"/>
        </w:pBdr>
        <w:spacing w:before="120" w:after="0"/>
      </w:pPr>
      <w:r>
        <w:rPr>
          <w:rFonts w:ascii="Calibri" w:hAnsi="Calibri"/>
          <w:i/>
          <w:color w:val="8C8C8C"/>
          <w:sz w:val="15"/>
        </w:rPr>
        <w:t xml:space="preserve">Provided by </w:t>
      </w:r>
      <w:hyperlink r:id="rIdLink1">
        <w:r>
          <w:rPr>
            <w:rFonts w:ascii="Calibri" w:hAnsi="Calibri"/>
            <w:i/>
            <w:color w:val="A9822F"/>
            <w:u w:val="single"/>
            <w:sz w:val="15"/>
          </w:rPr>
          <w:t>KeepCounsel — keepcounsel.io</w:t>
        </w:r>
      </w:hyperlink>
      <w:r>
        <w:rPr>
          <w:rFonts w:ascii="Calibri" w:hAnsi="Calibri"/>
          <w:i/>
          <w:color w:val="8C8C8C"/>
          <w:sz w:val="15"/>
        </w:rPr>
        <w:t>.</w:t>
      </w:r>
    </w:p>
    <w:sectPr>
      <w:headerReference w:type="default" r:id="rId1"/>
      <w:footerReference w:type="default" r:id="rId2"/>
      <w:pgSz w:w="11906" w:h="16838"/>
      <w:pgMar w:top="900" w:right="1200" w:bottom="900" w:left="1200" w:header="500" w:footer="50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8" w:color="D9D2C4"/>
      </w:pBdr>
      <w:tabs>
        <w:tab w:val="right" w:pos="9350"/>
      </w:tabs>
      <w:spacing w:before="120"/>
    </w:pPr>
    <w:r>
      <w:rPr>
        <w:rFonts w:ascii="Calibri" w:hAnsi="Calibri"/>
        <w:color w:val="8C8C8C"/>
        <w:sz w:val="16"/>
      </w:rPr>
      <w:t>KeepCounsel — Legal Health Check-list — keepcounsel.io</w:t>
    </w:r>
    <w:r>
      <w:rPr>
        <w:rFonts w:ascii="Calibri" w:hAnsi="Calibri"/>
        <w:color w:val="8C8C8C"/>
        <w:sz w:val="16"/>
      </w:rPr>
      <w:tab/>
      <w:t xml:space="preserve">Page </w:t>
    </w:r>
    <w:r>
      <w:rPr>
        <w:rFonts w:ascii="Calibri" w:hAnsi="Calibri"/>
        <w:color w:val="8C8C8C"/>
        <w:sz w:val="16"/>
      </w:rPr>
      <w:fldChar w:fldCharType="begin"/>
    </w:r>
    <w:r>
      <w:rPr>
        <w:rFonts w:ascii="Calibri" w:hAnsi="Calibri"/>
        <w:color w:val="8C8C8C"/>
        <w:sz w:val="16"/>
      </w:rPr>
      <w:instrText xml:space="preserve"> PAGE </w:instrText>
    </w:r>
    <w:r>
      <w:rPr>
        <w:rFonts w:ascii="Calibri" w:hAnsi="Calibri"/>
        <w:color w:val="8C8C8C"/>
        <w:sz w:val="16"/>
      </w:rPr>
      <w:fldChar w:fldCharType="separate"/>
    </w:r>
    <w:r>
      <w:rPr>
        <w:rFonts w:ascii="Calibri" w:hAnsi="Calibri"/>
        <w:color w:val="8C8C8C"/>
        <w:sz w:val="16"/>
      </w:rPr>
      <w:t>1</w:t>
    </w:r>
    <w:r>
      <w:rPr>
        <w:rFonts w:ascii="Calibri" w:hAnsi="Calibri"/>
        <w:color w:val="8C8C8C"/>
        <w:sz w:val="16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bottom w:val="single" w:sz="6" w:space="8" w:color="A9822F"/>
      </w:pBdr>
      <w:spacing w:after="0"/>
    </w:pPr>
    <w:r>
      <w:drawing>
        <wp:inline xmlns:wp="http://schemas.openxmlformats.org/drawingml/2006/wordprocessingDrawing" distT="0" distB="0" distL="0" distR="45720">
          <wp:extent cx="140000" cy="140000"/>
          <wp:effectExtent l="0" t="0" r="0" b="0"/>
          <wp:docPr id="601" name="KeepCounsel 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1" name="KeepCounsel Mark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140000" cy="1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hyperlink r:id="rId2">
      <w:r>
        <w:rPr>
          <w:rFonts w:ascii="Georgia" w:hAnsi="Georgia"/>
          <w:b/>
          <w:color w:val="101A2E"/>
          <w:sz w:val="18"/>
        </w:rPr>
        <w:t>Keep</w:t>
      </w:r>
      <w:r>
        <w:rPr>
          <w:rFonts w:ascii="Georgia" w:hAnsi="Georgia"/>
          <w:b/>
          <w:color w:val="A9822F"/>
          <w:sz w:val="18"/>
        </w:rPr>
        <w:t>Counsel</w:t>
      </w:r>
    </w:hyperlink>
  </w:p>
</w:hdr>
</file>

<file path=word/_rels/document.xml.rels>&#65279;<?xml version="1.0" encoding="UTF-8" standalone="yes"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Link1" Type="http://schemas.openxmlformats.org/officeDocument/2006/relationships/hyperlink" Target="https://keepcounsel.io" TargetMode="External"/></Relationships>
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logo1.png"/><Relationship Id="rId2" Type="http://schemas.openxmlformats.org/officeDocument/2006/relationships/hyperlink" Target="https://keepcounsel.io" TargetMode="External"/></Relationships>
</file>

<file path=docProps/app.xml><?xml version="1.0" encoding="utf-8"?>
<Properties xmlns="http://schemas.openxmlformats.org/officeDocument/2006/extended-properties">
  <Application>KeepCounsel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KeepCounsel Terms of Business</dc:title>
  <dc:creator>KeepCounsel</dc:creator>
  <cp:revision>1</cp:revision>
</cp:coreProperties>
</file>