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DD21" w14:textId="6D5EBCF5" w:rsidR="00C9034A" w:rsidRDefault="00C9034A" w:rsidP="00C9034A">
      <w:pPr>
        <w:pStyle w:val="Titre"/>
      </w:pPr>
      <w:r>
        <w:t>UM Ground.py</w:t>
      </w:r>
    </w:p>
    <w:p w14:paraId="66840381" w14:textId="7187597B" w:rsidR="00C9034A" w:rsidRDefault="00C9034A" w:rsidP="00C9034A"/>
    <w:p w14:paraId="065AAD77" w14:textId="02A2F521" w:rsidR="00C9034A" w:rsidRDefault="00C9034A" w:rsidP="00C9034A">
      <w:pPr>
        <w:pStyle w:val="Sous-titre"/>
      </w:pPr>
      <w:r>
        <w:t xml:space="preserve">Ce document à pour objectif de présenter et d’expliquer le fonctionnement du programme </w:t>
      </w:r>
      <w:r w:rsidRPr="00C9034A">
        <w:rPr>
          <w:b/>
          <w:bCs/>
        </w:rPr>
        <w:t>Ground.py</w:t>
      </w:r>
      <w:r>
        <w:t xml:space="preserve"> et de ses fonctions.</w:t>
      </w:r>
    </w:p>
    <w:p w14:paraId="40A29229" w14:textId="37CDF7F4" w:rsidR="00C9034A" w:rsidRDefault="00C9034A" w:rsidP="00C9034A"/>
    <w:p w14:paraId="73AE19F0" w14:textId="67281487" w:rsidR="00C9034A" w:rsidRDefault="00C9034A" w:rsidP="00C9034A">
      <w:pPr>
        <w:pStyle w:val="Titre1"/>
      </w:pPr>
      <w:r>
        <w:t>Général</w:t>
      </w:r>
    </w:p>
    <w:p w14:paraId="07A85BA8" w14:textId="6789A3A8" w:rsidR="00C9034A" w:rsidRDefault="00C9034A" w:rsidP="00C9034A">
      <w:r>
        <w:t>A partir des paramètres de simulation, d’orbite et de station sol définies par l’utilisateur, le programme calcule la position du satellite, sa trace au sol, le temps de vue par l’antenne sol ainsi que les données pour piloter l’antenne au sol : azimuth et élévation ainsi que les vitesses de rotation nécessaires.</w:t>
      </w:r>
    </w:p>
    <w:p w14:paraId="26584FDB" w14:textId="24FC521D" w:rsidR="00C9034A" w:rsidRDefault="00C9034A" w:rsidP="00C9034A"/>
    <w:p w14:paraId="248438EC" w14:textId="7F886E14" w:rsidR="00C9034A" w:rsidRPr="00C9034A" w:rsidRDefault="00C9034A" w:rsidP="00C9034A">
      <w:pPr>
        <w:pStyle w:val="Titre1"/>
      </w:pPr>
      <w:r>
        <w:t>Etapes</w:t>
      </w:r>
    </w:p>
    <w:p w14:paraId="797724DB" w14:textId="2FF3E5E2" w:rsidR="00C9034A" w:rsidRDefault="00C9034A" w:rsidP="00C9034A">
      <w:pPr>
        <w:pStyle w:val="Titre2"/>
        <w:ind w:firstLine="708"/>
      </w:pPr>
      <w:r>
        <w:t>GUI</w:t>
      </w:r>
    </w:p>
    <w:p w14:paraId="3AC6E93E" w14:textId="193BA28F" w:rsidR="00C9034A" w:rsidRDefault="00C9034A" w:rsidP="00C9034A">
      <w:r>
        <w:t xml:space="preserve">La fonction </w:t>
      </w:r>
      <w:r w:rsidRPr="00C9034A">
        <w:rPr>
          <w:b/>
          <w:bCs/>
        </w:rPr>
        <w:t>interface_graph</w:t>
      </w:r>
      <w:r>
        <w:rPr>
          <w:b/>
          <w:bCs/>
        </w:rPr>
        <w:t xml:space="preserve">() </w:t>
      </w:r>
      <w:r>
        <w:t>est la première fonction appelée et permet de rentrer via une interface graphique les informations nécessaires</w:t>
      </w:r>
    </w:p>
    <w:p w14:paraId="1FD7FE59" w14:textId="044E897C" w:rsidR="00C9034A" w:rsidRDefault="00C9034A" w:rsidP="00C9034A">
      <w:r w:rsidRPr="00C9034A">
        <w:drawing>
          <wp:inline distT="0" distB="0" distL="0" distR="0" wp14:anchorId="0AB2DAAE" wp14:editId="21DF1F27">
            <wp:extent cx="5760720" cy="15481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48130"/>
                    </a:xfrm>
                    <a:prstGeom prst="rect">
                      <a:avLst/>
                    </a:prstGeom>
                  </pic:spPr>
                </pic:pic>
              </a:graphicData>
            </a:graphic>
          </wp:inline>
        </w:drawing>
      </w:r>
    </w:p>
    <w:p w14:paraId="53FCFE3D" w14:textId="15638FBF" w:rsidR="00C9034A" w:rsidRDefault="00C9034A" w:rsidP="00C9034A">
      <w:pPr>
        <w:pStyle w:val="Titre2"/>
      </w:pPr>
      <w:r>
        <w:tab/>
        <w:t>Epoque</w:t>
      </w:r>
    </w:p>
    <w:p w14:paraId="278E4B12" w14:textId="06DF5481" w:rsidR="00C9034A" w:rsidRDefault="00C9034A" w:rsidP="00C9034A">
      <w:r>
        <w:t xml:space="preserve">Grace aux données de la colonne Simulation Parameters de l’interface graphique, la fonction </w:t>
      </w:r>
      <w:r w:rsidR="00D248B3" w:rsidRPr="00D248B3">
        <w:rPr>
          <w:b/>
          <w:bCs/>
        </w:rPr>
        <w:t>create_epoch()</w:t>
      </w:r>
      <w:r w:rsidR="00D248B3">
        <w:rPr>
          <w:b/>
          <w:bCs/>
        </w:rPr>
        <w:t xml:space="preserve"> </w:t>
      </w:r>
      <w:r w:rsidR="00D248B3">
        <w:t>créer une liste de date permettant la simulation sur une période et formate la date initiale afin d’être intégrée à la TLE (two lines elements)</w:t>
      </w:r>
    </w:p>
    <w:p w14:paraId="5126FB9A" w14:textId="0917A45E" w:rsidR="00D248B3" w:rsidRDefault="00D248B3" w:rsidP="00D248B3">
      <w:pPr>
        <w:pStyle w:val="Titre2"/>
      </w:pPr>
      <w:r>
        <w:tab/>
        <w:t>Orbite</w:t>
      </w:r>
    </w:p>
    <w:p w14:paraId="6B096377" w14:textId="572DFABF" w:rsidR="00D248B3" w:rsidRDefault="00D248B3" w:rsidP="00D248B3">
      <w:r>
        <w:t xml:space="preserve">Les données de la colonne Orbit Parameters sont fournis à la fonction </w:t>
      </w:r>
      <w:r>
        <w:rPr>
          <w:b/>
          <w:bCs/>
        </w:rPr>
        <w:t xml:space="preserve">create_orbit() </w:t>
      </w:r>
      <w:r>
        <w:t xml:space="preserve">afin de convertir dans le format TLE les paramètres orbitaux. Cette fonction appelle aussi la fonction </w:t>
      </w:r>
      <w:r>
        <w:rPr>
          <w:b/>
          <w:bCs/>
        </w:rPr>
        <w:t xml:space="preserve">mean_motion() </w:t>
      </w:r>
      <w:r>
        <w:t>qui renvoie le mouvement moyen du satellite (nombre de révolutions par jour, en rad/j) connaissant l’altitude du satellite. Cette dernière fonction s’appuie sur le rayon terrestre moyen, supposant la Terre ronde.</w:t>
      </w:r>
    </w:p>
    <w:p w14:paraId="379C0DC2" w14:textId="77777777" w:rsidR="0063109D" w:rsidRDefault="00D248B3" w:rsidP="00D248B3">
      <w:r>
        <w:t xml:space="preserve">Les deux lignes de la TLE sont donc complètes. </w:t>
      </w:r>
    </w:p>
    <w:p w14:paraId="19F94310" w14:textId="7A1FF8E3" w:rsidR="00D248B3" w:rsidRPr="0063109D" w:rsidRDefault="00D248B3" w:rsidP="00D248B3">
      <w:pPr>
        <w:rPr>
          <w:i/>
          <w:iCs/>
          <w:color w:val="4472C4" w:themeColor="accent1"/>
        </w:rPr>
      </w:pPr>
      <w:r w:rsidRPr="0063109D">
        <w:rPr>
          <w:i/>
          <w:iCs/>
          <w:color w:val="4472C4" w:themeColor="accent1"/>
        </w:rPr>
        <w:t xml:space="preserve">Cependant, des données supplémentaires peuvent améliorer la précision de la simulation. </w:t>
      </w:r>
      <w:r w:rsidR="00831E80" w:rsidRPr="0063109D">
        <w:rPr>
          <w:i/>
          <w:iCs/>
          <w:color w:val="4472C4" w:themeColor="accent1"/>
        </w:rPr>
        <w:t xml:space="preserve">La </w:t>
      </w:r>
      <w:r w:rsidRPr="0063109D">
        <w:rPr>
          <w:b/>
          <w:bCs/>
          <w:i/>
          <w:iCs/>
          <w:color w:val="4472C4" w:themeColor="accent1"/>
        </w:rPr>
        <w:t>Dérivée première du moyen mouvement</w:t>
      </w:r>
      <w:r w:rsidRPr="0063109D">
        <w:rPr>
          <w:i/>
          <w:iCs/>
          <w:color w:val="4472C4" w:themeColor="accent1"/>
        </w:rPr>
        <w:t>,</w:t>
      </w:r>
      <w:r w:rsidRPr="0063109D">
        <w:rPr>
          <w:i/>
          <w:iCs/>
          <w:color w:val="4472C4" w:themeColor="accent1"/>
        </w:rPr>
        <w:t xml:space="preserve"> </w:t>
      </w:r>
      <w:r w:rsidR="00831E80" w:rsidRPr="0063109D">
        <w:rPr>
          <w:i/>
          <w:iCs/>
          <w:color w:val="4472C4" w:themeColor="accent1"/>
        </w:rPr>
        <w:t xml:space="preserve">la </w:t>
      </w:r>
      <w:r w:rsidRPr="0063109D">
        <w:rPr>
          <w:b/>
          <w:bCs/>
          <w:i/>
          <w:iCs/>
          <w:color w:val="4472C4" w:themeColor="accent1"/>
        </w:rPr>
        <w:t>Dérivée seconde du moyen mouvement</w:t>
      </w:r>
      <w:r w:rsidRPr="0063109D">
        <w:rPr>
          <w:i/>
          <w:iCs/>
          <w:color w:val="4472C4" w:themeColor="accent1"/>
        </w:rPr>
        <w:t xml:space="preserve"> ainsi </w:t>
      </w:r>
      <w:r w:rsidR="00831E80" w:rsidRPr="0063109D">
        <w:rPr>
          <w:i/>
          <w:iCs/>
          <w:color w:val="4472C4" w:themeColor="accent1"/>
        </w:rPr>
        <w:t xml:space="preserve">que le </w:t>
      </w:r>
      <w:r w:rsidR="00831E80" w:rsidRPr="0063109D">
        <w:rPr>
          <w:b/>
          <w:bCs/>
          <w:i/>
          <w:iCs/>
          <w:color w:val="4472C4" w:themeColor="accent1"/>
        </w:rPr>
        <w:t>Coefficient de trainée BSTAR</w:t>
      </w:r>
      <w:r w:rsidR="00831E80" w:rsidRPr="0063109D">
        <w:rPr>
          <w:i/>
          <w:iCs/>
          <w:color w:val="4472C4" w:themeColor="accent1"/>
        </w:rPr>
        <w:t xml:space="preserve"> ne sont pas pris en compte spécifiquement pour notre étude mais pourront être intégré une fois ces paramètres connus.</w:t>
      </w:r>
    </w:p>
    <w:p w14:paraId="5F15CCDA" w14:textId="7B78E286" w:rsidR="00831E80" w:rsidRDefault="00831E80" w:rsidP="00831E80">
      <w:pPr>
        <w:pStyle w:val="Titre2"/>
      </w:pPr>
      <w:r>
        <w:lastRenderedPageBreak/>
        <w:tab/>
        <w:t>Satellite</w:t>
      </w:r>
    </w:p>
    <w:p w14:paraId="7AC16ADF" w14:textId="5BAD8B02" w:rsidR="00831E80" w:rsidRDefault="00831E80" w:rsidP="00831E80">
      <w:r>
        <w:t xml:space="preserve">La fonction </w:t>
      </w:r>
      <w:r>
        <w:rPr>
          <w:b/>
          <w:bCs/>
        </w:rPr>
        <w:t xml:space="preserve">ground_track() </w:t>
      </w:r>
      <w:r>
        <w:t xml:space="preserve">utilise ensuite la TLE pour créer le satellite sur son orbite et calcule sa position (latitude, longitude, elevation) sur toute la durée de la simulation. Ceci permet à la fonction </w:t>
      </w:r>
      <w:r>
        <w:rPr>
          <w:b/>
          <w:bCs/>
        </w:rPr>
        <w:t xml:space="preserve">plot_ground_track() </w:t>
      </w:r>
      <w:r>
        <w:t>d’afficher la Terre et la trace au sol du satellite. Elle place aussi la station sol avec une étoile rouge (</w:t>
      </w:r>
      <w:r w:rsidRPr="00831E80">
        <w:rPr>
          <w:color w:val="FF0000"/>
        </w:rPr>
        <w:t>*</w:t>
      </w:r>
      <w:r>
        <w:t>). Pour faire cela sur une image d’un planisphère, il faut convertir la latitude et longitude afin de correspondre aux coordonnées de l’image.</w:t>
      </w:r>
    </w:p>
    <w:p w14:paraId="1A9B41B7" w14:textId="0D0334FE" w:rsidR="008534B0" w:rsidRPr="008534B0" w:rsidRDefault="008534B0" w:rsidP="00831E80">
      <w:pPr>
        <w:rPr>
          <w:i/>
          <w:iCs/>
          <w:color w:val="4472C4" w:themeColor="accent1"/>
        </w:rPr>
      </w:pPr>
      <w:r>
        <w:rPr>
          <w:i/>
          <w:iCs/>
          <w:color w:val="4472C4" w:themeColor="accent1"/>
        </w:rPr>
        <w:t>Le tracer peut être améliorer si une meilleure précision est nécessaire.</w:t>
      </w:r>
    </w:p>
    <w:p w14:paraId="6AB30E3E" w14:textId="5A6194F3" w:rsidR="00A160DB" w:rsidRDefault="00A160DB" w:rsidP="00831E80">
      <w:r>
        <w:rPr>
          <w:noProof/>
        </w:rPr>
        <w:drawing>
          <wp:inline distT="0" distB="0" distL="0" distR="0" wp14:anchorId="6C9C1AD9" wp14:editId="3BBED83D">
            <wp:extent cx="4838095" cy="2565079"/>
            <wp:effectExtent l="0" t="0" r="63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095" cy="2565079"/>
                    </a:xfrm>
                    <a:prstGeom prst="rect">
                      <a:avLst/>
                    </a:prstGeom>
                  </pic:spPr>
                </pic:pic>
              </a:graphicData>
            </a:graphic>
          </wp:inline>
        </w:drawing>
      </w:r>
    </w:p>
    <w:p w14:paraId="284067D2" w14:textId="695490C8" w:rsidR="00831E80" w:rsidRDefault="00831E80" w:rsidP="00831E80">
      <w:pPr>
        <w:pStyle w:val="Titre2"/>
      </w:pPr>
      <w:r>
        <w:tab/>
        <w:t>Visibilité</w:t>
      </w:r>
    </w:p>
    <w:p w14:paraId="6C433D3E" w14:textId="21978400" w:rsidR="00831E80" w:rsidRDefault="008B29F6" w:rsidP="00831E80">
      <w:r>
        <w:t xml:space="preserve">La fonction </w:t>
      </w:r>
      <w:r>
        <w:rPr>
          <w:b/>
          <w:bCs/>
        </w:rPr>
        <w:t xml:space="preserve">is_seen() </w:t>
      </w:r>
      <w:r w:rsidR="00AA7C3A">
        <w:t xml:space="preserve">s’appuie sur la position du satellite et de la station sol pour </w:t>
      </w:r>
      <w:r w:rsidR="00856536">
        <w:t xml:space="preserve">calculer la position relative du satellite du point de vue de la station sol et </w:t>
      </w:r>
      <w:r w:rsidR="00786C88">
        <w:t>indique si le satellite est visible par la station et dans quelle</w:t>
      </w:r>
      <w:r w:rsidR="00B61660">
        <w:t>s</w:t>
      </w:r>
      <w:r w:rsidR="00786C88">
        <w:t xml:space="preserve"> direction</w:t>
      </w:r>
      <w:r w:rsidR="00B61660">
        <w:t>s</w:t>
      </w:r>
      <w:r w:rsidR="00786C88">
        <w:t xml:space="preserve"> se tourner</w:t>
      </w:r>
      <w:r w:rsidR="00645F04">
        <w:t>.</w:t>
      </w:r>
      <w:r w:rsidR="002B1E8B">
        <w:t xml:space="preserve"> Ces calculs de positions relatives sont complexes </w:t>
      </w:r>
      <w:r w:rsidR="001A2AFE">
        <w:t xml:space="preserve">et peuvent certainement être simplifier par une fonction de changement de repère. Ici, on converti d’abord </w:t>
      </w:r>
      <w:r w:rsidR="00352B1D">
        <w:t xml:space="preserve">les coordonnées du satellite (lat, lon, elev) </w:t>
      </w:r>
      <w:r w:rsidR="0012504A">
        <w:t>dans</w:t>
      </w:r>
      <w:r w:rsidR="00352B1D">
        <w:t xml:space="preserve"> l</w:t>
      </w:r>
      <w:r w:rsidR="0012504A">
        <w:t>e repère géocentrique (de même pour la station sol)</w:t>
      </w:r>
      <w:r w:rsidR="005C2C91">
        <w:t xml:space="preserve"> en supposant ici aussi une Terre parfaitement ronde.</w:t>
      </w:r>
    </w:p>
    <w:p w14:paraId="6611037F" w14:textId="6F7F8022" w:rsidR="00751D85" w:rsidRDefault="00751D85" w:rsidP="00831E80">
      <w:r>
        <w:t>O</w:t>
      </w:r>
      <w:r w:rsidR="00F12287">
        <w:t xml:space="preserve">n crée aussi plusieurs vecteurs qui permettrons de situer le satellite </w:t>
      </w:r>
      <w:r w:rsidR="004E0D92">
        <w:t>depuis la station sol :</w:t>
      </w:r>
    </w:p>
    <w:p w14:paraId="4AE947E4" w14:textId="56F59556" w:rsidR="004E0D92" w:rsidRDefault="004E0D92" w:rsidP="004E0D92">
      <w:pPr>
        <w:pStyle w:val="Paragraphedeliste"/>
        <w:numPr>
          <w:ilvl w:val="0"/>
          <w:numId w:val="1"/>
        </w:numPr>
      </w:pPr>
      <w:r>
        <w:t>v_GS_sat qui a pour origine la station sol et qui pointe vers le satellite</w:t>
      </w:r>
    </w:p>
    <w:p w14:paraId="117A00C1" w14:textId="4A6E0EBF" w:rsidR="007C4AFD" w:rsidRDefault="007C4AFD" w:rsidP="004E0D92">
      <w:pPr>
        <w:pStyle w:val="Paragraphedeliste"/>
        <w:numPr>
          <w:ilvl w:val="0"/>
          <w:numId w:val="1"/>
        </w:numPr>
      </w:pPr>
      <w:r>
        <w:t xml:space="preserve">v_GS_zenith </w:t>
      </w:r>
      <w:r w:rsidR="00023E9F">
        <w:t>qui a pour origine la station sol et qui pointe droit vers le ciel (zénith local)</w:t>
      </w:r>
    </w:p>
    <w:p w14:paraId="45EF3DD1" w14:textId="21E3497A" w:rsidR="00023E9F" w:rsidRDefault="00795780" w:rsidP="004E0D92">
      <w:pPr>
        <w:pStyle w:val="Paragraphedeliste"/>
        <w:numPr>
          <w:ilvl w:val="0"/>
          <w:numId w:val="1"/>
        </w:numPr>
      </w:pPr>
      <w:r>
        <w:t xml:space="preserve">v_GS_sat_loc </w:t>
      </w:r>
      <w:r w:rsidR="00A8404B">
        <w:t xml:space="preserve">qui est le vecteur v_GS_sat </w:t>
      </w:r>
      <w:r w:rsidR="005376EE">
        <w:t xml:space="preserve">projeté </w:t>
      </w:r>
      <w:r w:rsidR="00A8404B">
        <w:t xml:space="preserve">sur le plan </w:t>
      </w:r>
      <w:r w:rsidR="005376EE">
        <w:t>perpendiculaire au zénith local</w:t>
      </w:r>
    </w:p>
    <w:p w14:paraId="6AD89EEE" w14:textId="74075A35" w:rsidR="00831E80" w:rsidRDefault="00AC76E3" w:rsidP="0018565C">
      <w:pPr>
        <w:pStyle w:val="Paragraphedeliste"/>
        <w:numPr>
          <w:ilvl w:val="0"/>
          <w:numId w:val="1"/>
        </w:numPr>
      </w:pPr>
      <w:r w:rsidRPr="00AC76E3">
        <w:t>v_origin_lon</w:t>
      </w:r>
      <w:r>
        <w:t xml:space="preserve"> qui représente la direction </w:t>
      </w:r>
      <w:r w:rsidR="00352808">
        <w:t xml:space="preserve">depuis la station vers l’équateur </w:t>
      </w:r>
      <w:r w:rsidR="009F721F">
        <w:t>(parallèle au méridien)</w:t>
      </w:r>
    </w:p>
    <w:p w14:paraId="38F165AF" w14:textId="6383398B" w:rsidR="009F721F" w:rsidRDefault="009F721F" w:rsidP="0018565C">
      <w:pPr>
        <w:pStyle w:val="Paragraphedeliste"/>
        <w:numPr>
          <w:ilvl w:val="0"/>
          <w:numId w:val="1"/>
        </w:numPr>
      </w:pPr>
      <w:r w:rsidRPr="009F721F">
        <w:t>v_origin_l</w:t>
      </w:r>
      <w:r>
        <w:t xml:space="preserve">at qui </w:t>
      </w:r>
      <w:r w:rsidR="001F7005">
        <w:t>représente la direction depuis la station vers</w:t>
      </w:r>
      <w:r w:rsidR="001F7005">
        <w:t xml:space="preserve"> l’est (parallèle au </w:t>
      </w:r>
      <w:r w:rsidR="00EF2D8B">
        <w:t>parallèle)</w:t>
      </w:r>
    </w:p>
    <w:p w14:paraId="02B38FFC" w14:textId="41983778" w:rsidR="00EF2D8B" w:rsidRDefault="00475F7C" w:rsidP="00BE51DC">
      <w:r>
        <w:t xml:space="preserve">L’angle entre </w:t>
      </w:r>
      <w:r>
        <w:t>v_GS_sat</w:t>
      </w:r>
      <w:r>
        <w:t xml:space="preserve"> et </w:t>
      </w:r>
      <w:r>
        <w:t>v_GS_zenith</w:t>
      </w:r>
      <w:r>
        <w:t xml:space="preserve"> donne l</w:t>
      </w:r>
      <w:r w:rsidR="00B01758">
        <w:t>’élévation (de combien de degré</w:t>
      </w:r>
      <w:r w:rsidR="00BD76EA">
        <w:t>s</w:t>
      </w:r>
      <w:r w:rsidR="00B01758">
        <w:t xml:space="preserve"> </w:t>
      </w:r>
      <w:r w:rsidR="00BD76EA">
        <w:t xml:space="preserve">au-dessus de l’horizon </w:t>
      </w:r>
      <w:r w:rsidR="00B01758">
        <w:t xml:space="preserve">l’antenne doit </w:t>
      </w:r>
      <w:r w:rsidR="00BD76EA">
        <w:t>se tourner)</w:t>
      </w:r>
      <w:r w:rsidR="00427D2A">
        <w:t>.</w:t>
      </w:r>
    </w:p>
    <w:p w14:paraId="62E86F2C" w14:textId="44B1AA12" w:rsidR="00BD76EA" w:rsidRDefault="00BD76EA" w:rsidP="00BE51DC">
      <w:r>
        <w:t xml:space="preserve">L’angle entre </w:t>
      </w:r>
      <w:r w:rsidR="00697438">
        <w:t>v_GS_sat_loc</w:t>
      </w:r>
      <w:r w:rsidR="00697438">
        <w:t xml:space="preserve"> et </w:t>
      </w:r>
      <w:r w:rsidR="00697438" w:rsidRPr="00AC76E3">
        <w:t>v_origin_lon</w:t>
      </w:r>
      <w:r w:rsidR="00697438">
        <w:t xml:space="preserve"> donne l’azimuth (de combien de degrés par rapport au s</w:t>
      </w:r>
      <w:r w:rsidR="00427D2A">
        <w:t>ud (ou au nord si l’antenne est dans l’hémisphère sud) l’antenne doit se tourner</w:t>
      </w:r>
      <w:r w:rsidR="006E1810">
        <w:t xml:space="preserve"> (sens direct)</w:t>
      </w:r>
      <w:r w:rsidR="00427D2A">
        <w:t>.</w:t>
      </w:r>
      <w:r w:rsidR="00D5636D">
        <w:t xml:space="preserve"> </w:t>
      </w:r>
      <w:r w:rsidR="00D5636D" w:rsidRPr="009F721F">
        <w:t>v_origin_l</w:t>
      </w:r>
      <w:r w:rsidR="00D5636D">
        <w:t>at</w:t>
      </w:r>
      <w:r w:rsidR="00D5636D">
        <w:t xml:space="preserve"> permet de savoir si l’angle est supérieur à 180°</w:t>
      </w:r>
    </w:p>
    <w:p w14:paraId="2BF1AEC9" w14:textId="77777777" w:rsidR="00D5636D" w:rsidRDefault="00D5636D" w:rsidP="00BE51DC"/>
    <w:p w14:paraId="19B20C87" w14:textId="2C1BFD01" w:rsidR="00D5636D" w:rsidRPr="0063109D" w:rsidRDefault="00D5636D" w:rsidP="00BE51DC">
      <w:pPr>
        <w:rPr>
          <w:i/>
          <w:iCs/>
          <w:color w:val="4472C4" w:themeColor="accent1"/>
        </w:rPr>
      </w:pPr>
      <w:r w:rsidRPr="0063109D">
        <w:rPr>
          <w:i/>
          <w:iCs/>
          <w:color w:val="4472C4" w:themeColor="accent1"/>
        </w:rPr>
        <w:lastRenderedPageBreak/>
        <w:t>De nombreuses améliorations peuvent être apportées à cette fonction pour en augmenter la précision.</w:t>
      </w:r>
    </w:p>
    <w:p w14:paraId="4B6176F9" w14:textId="5A77022A" w:rsidR="00074556" w:rsidRDefault="00074556" w:rsidP="00BE51DC">
      <w:r>
        <w:t xml:space="preserve">Cette fonction renvoie une liste indiquant les instants où le satellite est visible ainsi que </w:t>
      </w:r>
      <w:r w:rsidR="005A0251">
        <w:t>sa position relative (azimuth, elevation).</w:t>
      </w:r>
    </w:p>
    <w:p w14:paraId="4F5F382A" w14:textId="3F135363" w:rsidR="00C44676" w:rsidRDefault="00C44676" w:rsidP="00C44676">
      <w:r>
        <w:t xml:space="preserve">Dans le cas </w:t>
      </w:r>
      <w:r>
        <w:t>où</w:t>
      </w:r>
      <w:r>
        <w:t xml:space="preserve"> la satellite est visible </w:t>
      </w:r>
      <w:r>
        <w:t>à plusieurs moments</w:t>
      </w:r>
      <w:r>
        <w:t xml:space="preserve">, </w:t>
      </w:r>
      <w:r>
        <w:t xml:space="preserve">la </w:t>
      </w:r>
      <w:r>
        <w:t xml:space="preserve">fonction </w:t>
      </w:r>
      <w:r w:rsidR="0063109D" w:rsidRPr="0063109D">
        <w:rPr>
          <w:b/>
          <w:bCs/>
        </w:rPr>
        <w:t>decouper_liste_en_sous_listes</w:t>
      </w:r>
      <w:r w:rsidR="0063109D" w:rsidRPr="0063109D">
        <w:rPr>
          <w:b/>
          <w:bCs/>
        </w:rPr>
        <w:t>()</w:t>
      </w:r>
      <w:r w:rsidR="0063109D">
        <w:t xml:space="preserve"> </w:t>
      </w:r>
      <w:r>
        <w:t>permet de séparer ces moments</w:t>
      </w:r>
      <w:r w:rsidR="0063109D">
        <w:t>.</w:t>
      </w:r>
    </w:p>
    <w:p w14:paraId="7310583B" w14:textId="002CD69B" w:rsidR="003773AF" w:rsidRDefault="003773AF" w:rsidP="003773AF">
      <w:pPr>
        <w:pStyle w:val="Titre2"/>
      </w:pPr>
      <w:r>
        <w:tab/>
        <w:t>Temps de vue</w:t>
      </w:r>
    </w:p>
    <w:p w14:paraId="1C78880A" w14:textId="0DE4AA97" w:rsidR="001A1B94" w:rsidRDefault="003773AF" w:rsidP="003773AF">
      <w:r>
        <w:t xml:space="preserve">La fonction </w:t>
      </w:r>
      <w:r>
        <w:rPr>
          <w:b/>
          <w:bCs/>
        </w:rPr>
        <w:t xml:space="preserve">time_seen() </w:t>
      </w:r>
      <w:r>
        <w:t xml:space="preserve">utilise la liste renvoyer par </w:t>
      </w:r>
      <w:r>
        <w:rPr>
          <w:b/>
          <w:bCs/>
        </w:rPr>
        <w:t xml:space="preserve">is_seen() </w:t>
      </w:r>
      <w:r>
        <w:t xml:space="preserve">pour indiquer à l’utilisateur les </w:t>
      </w:r>
      <w:r w:rsidR="00C47761">
        <w:t>dates exactes entre lesquelles le satellite est visible ainsi que la durée de visibilité. Ceci permet d</w:t>
      </w:r>
      <w:r w:rsidR="00AB4BC7">
        <w:t>’estimer un débit raisonnable pour la communication entre le satellite et le sol.</w:t>
      </w:r>
    </w:p>
    <w:p w14:paraId="18614795" w14:textId="68086D26" w:rsidR="00AB4BC7" w:rsidRDefault="001A1B94" w:rsidP="001A1B94">
      <w:pPr>
        <w:pStyle w:val="Titre2"/>
      </w:pPr>
      <w:r>
        <w:tab/>
        <w:t>Antenne au sol</w:t>
      </w:r>
    </w:p>
    <w:p w14:paraId="701E2B9F" w14:textId="7157FB4C" w:rsidR="001A1B94" w:rsidRDefault="009466E8" w:rsidP="001A1B94">
      <w:r>
        <w:t xml:space="preserve">Pour « commander » l’antenne au sol, la fonction </w:t>
      </w:r>
      <w:r>
        <w:rPr>
          <w:b/>
          <w:bCs/>
        </w:rPr>
        <w:t xml:space="preserve">antenna_rotation() </w:t>
      </w:r>
      <w:r w:rsidR="004C762E">
        <w:t>informe l’utilisateur dans un graphique la pos</w:t>
      </w:r>
      <w:r w:rsidR="0012761F">
        <w:t>i</w:t>
      </w:r>
      <w:r w:rsidR="004C762E">
        <w:t xml:space="preserve">tion de l’antenne en fonction du temps afin de suivre le satellite durant </w:t>
      </w:r>
      <w:r w:rsidR="0012761F">
        <w:t>son passage.</w:t>
      </w:r>
      <w:r w:rsidR="00CE44D4">
        <w:t xml:space="preserve"> Le temps en abscise du graphe est en secondes, l’origine du temps correspond au moment où le satellite est visible pour la première fois.</w:t>
      </w:r>
      <w:r w:rsidR="00855902">
        <w:t xml:space="preserve"> Il y a un graphe pour chaque période de visibilité.</w:t>
      </w:r>
    </w:p>
    <w:p w14:paraId="46F24058" w14:textId="56046A71" w:rsidR="00855902" w:rsidRDefault="00855902" w:rsidP="001A1B94">
      <w:r>
        <w:t xml:space="preserve">On ajoute aussi </w:t>
      </w:r>
      <w:r w:rsidR="00EC777C">
        <w:t>l’information concernant la vitesse de rotation de l’antenne afin de s’assurer (au moment du choix de l’antenne</w:t>
      </w:r>
      <w:r w:rsidR="00151D38">
        <w:t>)</w:t>
      </w:r>
      <w:r w:rsidR="00EC777C">
        <w:t xml:space="preserve"> que celle-ci sera capable de suivre le satellite</w:t>
      </w:r>
      <w:r w:rsidR="00151D38">
        <w:t xml:space="preserve">. La fonction </w:t>
      </w:r>
      <w:r w:rsidR="00151D38">
        <w:rPr>
          <w:b/>
          <w:bCs/>
        </w:rPr>
        <w:t xml:space="preserve">speed_roation() </w:t>
      </w:r>
      <w:r w:rsidR="00151D38">
        <w:t>dérive donc la position par rapport au temps pour connaitre la vitesse de rotation de cette antenne en fonction du temps.</w:t>
      </w:r>
    </w:p>
    <w:p w14:paraId="3FF3E739" w14:textId="04C63434" w:rsidR="00034EDD" w:rsidRDefault="00034EDD" w:rsidP="001A1B94">
      <w:r>
        <w:rPr>
          <w:noProof/>
        </w:rPr>
        <w:drawing>
          <wp:inline distT="0" distB="0" distL="0" distR="0" wp14:anchorId="42CD5448" wp14:editId="08073C93">
            <wp:extent cx="3429000" cy="2264434"/>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3321" cy="2273891"/>
                    </a:xfrm>
                    <a:prstGeom prst="rect">
                      <a:avLst/>
                    </a:prstGeom>
                  </pic:spPr>
                </pic:pic>
              </a:graphicData>
            </a:graphic>
          </wp:inline>
        </w:drawing>
      </w:r>
    </w:p>
    <w:p w14:paraId="609A0BF0" w14:textId="596C9869" w:rsidR="00E76428" w:rsidRPr="00151D38" w:rsidRDefault="00E76428" w:rsidP="001A1B94">
      <w:r>
        <w:rPr>
          <w:noProof/>
        </w:rPr>
        <w:drawing>
          <wp:inline distT="0" distB="0" distL="0" distR="0" wp14:anchorId="361FC7B1" wp14:editId="563DC711">
            <wp:extent cx="3438580" cy="227076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991" cy="2285560"/>
                    </a:xfrm>
                    <a:prstGeom prst="rect">
                      <a:avLst/>
                    </a:prstGeom>
                  </pic:spPr>
                </pic:pic>
              </a:graphicData>
            </a:graphic>
          </wp:inline>
        </w:drawing>
      </w:r>
    </w:p>
    <w:sectPr w:rsidR="00E76428" w:rsidRPr="00151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83A46"/>
    <w:multiLevelType w:val="hybridMultilevel"/>
    <w:tmpl w:val="90D6E9AC"/>
    <w:lvl w:ilvl="0" w:tplc="ED56A3C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22325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4A"/>
    <w:rsid w:val="00023E9F"/>
    <w:rsid w:val="00034EDD"/>
    <w:rsid w:val="00074556"/>
    <w:rsid w:val="0012504A"/>
    <w:rsid w:val="0012761F"/>
    <w:rsid w:val="00151D38"/>
    <w:rsid w:val="001A1B94"/>
    <w:rsid w:val="001A2AFE"/>
    <w:rsid w:val="001F7005"/>
    <w:rsid w:val="002B1E8B"/>
    <w:rsid w:val="00352808"/>
    <w:rsid w:val="00352B1D"/>
    <w:rsid w:val="003773AF"/>
    <w:rsid w:val="00427D2A"/>
    <w:rsid w:val="00475F7C"/>
    <w:rsid w:val="004C762E"/>
    <w:rsid w:val="004E0D92"/>
    <w:rsid w:val="005376EE"/>
    <w:rsid w:val="005A0251"/>
    <w:rsid w:val="005C2C91"/>
    <w:rsid w:val="0063109D"/>
    <w:rsid w:val="00645F04"/>
    <w:rsid w:val="00697438"/>
    <w:rsid w:val="006E1810"/>
    <w:rsid w:val="00751D85"/>
    <w:rsid w:val="00786C88"/>
    <w:rsid w:val="00795780"/>
    <w:rsid w:val="007C4AFD"/>
    <w:rsid w:val="00831E80"/>
    <w:rsid w:val="008534B0"/>
    <w:rsid w:val="00855902"/>
    <w:rsid w:val="00856536"/>
    <w:rsid w:val="008B29F6"/>
    <w:rsid w:val="009466E8"/>
    <w:rsid w:val="009F721F"/>
    <w:rsid w:val="00A160DB"/>
    <w:rsid w:val="00A8404B"/>
    <w:rsid w:val="00AA7C3A"/>
    <w:rsid w:val="00AB4BC7"/>
    <w:rsid w:val="00AC76E3"/>
    <w:rsid w:val="00B01758"/>
    <w:rsid w:val="00B61660"/>
    <w:rsid w:val="00BD76EA"/>
    <w:rsid w:val="00BE51DC"/>
    <w:rsid w:val="00C44676"/>
    <w:rsid w:val="00C47761"/>
    <w:rsid w:val="00C9034A"/>
    <w:rsid w:val="00CE44D4"/>
    <w:rsid w:val="00D248B3"/>
    <w:rsid w:val="00D5636D"/>
    <w:rsid w:val="00E76428"/>
    <w:rsid w:val="00EC777C"/>
    <w:rsid w:val="00EF2D8B"/>
    <w:rsid w:val="00F122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986B"/>
  <w15:chartTrackingRefBased/>
  <w15:docId w15:val="{32F2735B-C40C-4048-AFEE-0E3F65F1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0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90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03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03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034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9034A"/>
    <w:rPr>
      <w:rFonts w:eastAsiaTheme="minorEastAsia"/>
      <w:color w:val="5A5A5A" w:themeColor="text1" w:themeTint="A5"/>
      <w:spacing w:val="15"/>
    </w:rPr>
  </w:style>
  <w:style w:type="character" w:customStyle="1" w:styleId="Titre1Car">
    <w:name w:val="Titre 1 Car"/>
    <w:basedOn w:val="Policepardfaut"/>
    <w:link w:val="Titre1"/>
    <w:uiPriority w:val="9"/>
    <w:rsid w:val="00C903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9034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D248B3"/>
    <w:rPr>
      <w:color w:val="0000FF"/>
      <w:u w:val="single"/>
    </w:rPr>
  </w:style>
  <w:style w:type="paragraph" w:styleId="Paragraphedeliste">
    <w:name w:val="List Paragraph"/>
    <w:basedOn w:val="Normal"/>
    <w:uiPriority w:val="34"/>
    <w:qFormat/>
    <w:rsid w:val="004E0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7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794</Words>
  <Characters>4369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SIGE</dc:creator>
  <cp:keywords/>
  <dc:description/>
  <cp:lastModifiedBy>Mateo SIGE</cp:lastModifiedBy>
  <cp:revision>54</cp:revision>
  <dcterms:created xsi:type="dcterms:W3CDTF">2023-11-22T13:12:00Z</dcterms:created>
  <dcterms:modified xsi:type="dcterms:W3CDTF">2023-11-22T14:23:00Z</dcterms:modified>
</cp:coreProperties>
</file>