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 Descriptive Complète - Enquête Stigmatisation VIH/SIDA 2025</w:t>
      </w:r>
    </w:p>
    <w:p>
      <w:pPr>
        <w:pStyle w:val="Subtitle"/>
      </w:pPr>
      <w:r>
        <w:t xml:space="preserve">Selon le Plan d’Analyse Officiel</w:t>
      </w:r>
    </w:p>
    <w:p>
      <w:pPr>
        <w:pStyle w:val="Author"/>
      </w:pPr>
      <w:r>
        <w:t xml:space="preserve">Forces Armées de Côte d’Ivoire</w:t>
      </w:r>
    </w:p>
    <w:p>
      <w:pPr>
        <w:pStyle w:val="Date"/>
      </w:pPr>
      <w:r>
        <w:t xml:space="preserve">2025-11-12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ésentation-de-létude"/>
    <w:p>
      <w:pPr>
        <w:pStyle w:val="Heading1"/>
      </w:pPr>
      <w:r>
        <w:rPr>
          <w:rStyle w:val="SectionNumber"/>
        </w:rPr>
        <w:t xml:space="preserve">1</w:t>
      </w:r>
      <w:r>
        <w:tab/>
      </w:r>
      <w:r>
        <w:t xml:space="preserve">Présentation de l’étude</w:t>
      </w:r>
    </w:p>
    <w:p>
      <w:pPr>
        <w:pStyle w:val="FirstParagraph"/>
      </w:pPr>
      <w:r>
        <w:t xml:space="preserve">Cette analyse descriptive complète porte sur l’enquête de stigmatisation liée au VIH/SIDA menée auprès du personnel des Forces Armées de Côte d’Ivoire en 2025, suivant le plan d’analyse officiel.</w:t>
      </w:r>
    </w:p>
    <w:p>
      <w:pPr>
        <w:pStyle w:val="BodyText"/>
      </w:pPr>
      <w:r>
        <w:rPr>
          <w:b/>
          <w:bCs/>
        </w:rPr>
        <w:t xml:space="preserve">Informations générales :</w:t>
      </w:r>
    </w:p>
    <w:p>
      <w:pPr>
        <w:pStyle w:val="Compact"/>
        <w:numPr>
          <w:ilvl w:val="0"/>
          <w:numId w:val="1001"/>
        </w:numPr>
      </w:pPr>
      <w:r>
        <w:t xml:space="preserve">Nombre de participants : 213</w:t>
      </w:r>
    </w:p>
    <w:p>
      <w:pPr>
        <w:pStyle w:val="Compact"/>
        <w:numPr>
          <w:ilvl w:val="0"/>
          <w:numId w:val="1001"/>
        </w:numPr>
      </w:pPr>
      <w:r>
        <w:t xml:space="preserve">Nombre de variables : 121</w:t>
      </w:r>
      <w:r>
        <w:br/>
      </w:r>
    </w:p>
    <w:p>
      <w:pPr>
        <w:pStyle w:val="Compact"/>
        <w:numPr>
          <w:ilvl w:val="0"/>
          <w:numId w:val="1001"/>
        </w:numPr>
      </w:pPr>
      <w:r>
        <w:t xml:space="preserve">Période de collecte : Juillet à Octobre 2025</w:t>
      </w:r>
    </w:p>
    <w:bookmarkEnd w:id="20"/>
    <w:bookmarkStart w:id="21" w:name="X118d36eaadac1e4adcaac0d8df3674e150a732b"/>
    <w:p>
      <w:pPr>
        <w:pStyle w:val="Heading1"/>
      </w:pPr>
      <w:r>
        <w:rPr>
          <w:rStyle w:val="SectionNumber"/>
        </w:rPr>
        <w:t xml:space="preserve">2</w:t>
      </w:r>
      <w:r>
        <w:tab/>
      </w:r>
      <w:r>
        <w:t xml:space="preserve">Section 1 : Caractéristiques socio-démographiques</w:t>
      </w:r>
    </w:p>
    <w:p>
      <w:pPr>
        <w:pStyle w:val="FirstParagraph"/>
      </w:pPr>
      <w:r>
        <w:rPr>
          <w:b/>
          <w:bCs/>
        </w:rPr>
        <w:t xml:space="preserve">Tableau 1.1 : Répartition des PVVIH par Région Militaire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1ère Région Militaire</w:t>
            </w:r>
          </w:p>
        </w:tc>
        <w:tc>
          <w:tcPr/>
          <w:p>
            <w:pPr>
              <w:pStyle w:val="Compact"/>
              <w:jc w:val="right"/>
            </w:pPr>
            <w:r>
              <w:t xml:space="preserve">133</w:t>
            </w:r>
          </w:p>
        </w:tc>
        <w:tc>
          <w:tcPr/>
          <w:p>
            <w:pPr>
              <w:pStyle w:val="Compact"/>
              <w:jc w:val="right"/>
            </w:pPr>
            <w:r>
              <w:t xml:space="preserve">62,4 %</w:t>
            </w:r>
          </w:p>
        </w:tc>
      </w:tr>
      <w:tr>
        <w:tc>
          <w:tcPr/>
          <w:p>
            <w:pPr>
              <w:pStyle w:val="Compact"/>
              <w:jc w:val="left"/>
            </w:pPr>
            <w:r>
              <w:t xml:space="preserve">2e Région Militaire</w:t>
            </w:r>
          </w:p>
        </w:tc>
        <w:tc>
          <w:tcPr/>
          <w:p>
            <w:pPr>
              <w:pStyle w:val="Compact"/>
              <w:jc w:val="right"/>
            </w:pPr>
            <w:r>
              <w:t xml:space="preserve">34</w:t>
            </w:r>
          </w:p>
        </w:tc>
        <w:tc>
          <w:tcPr/>
          <w:p>
            <w:pPr>
              <w:pStyle w:val="Compact"/>
              <w:jc w:val="right"/>
            </w:pPr>
            <w:r>
              <w:t xml:space="preserve">16,0 %</w:t>
            </w:r>
          </w:p>
        </w:tc>
      </w:tr>
      <w:tr>
        <w:tc>
          <w:tcPr/>
          <w:p>
            <w:pPr>
              <w:pStyle w:val="Compact"/>
              <w:jc w:val="left"/>
            </w:pPr>
            <w:r>
              <w:t xml:space="preserve">3e Région Militaire</w:t>
            </w:r>
          </w:p>
        </w:tc>
        <w:tc>
          <w:tcPr/>
          <w:p>
            <w:pPr>
              <w:pStyle w:val="Compact"/>
              <w:jc w:val="right"/>
            </w:pPr>
            <w:r>
              <w:t xml:space="preserve">30</w:t>
            </w:r>
          </w:p>
        </w:tc>
        <w:tc>
          <w:tcPr/>
          <w:p>
            <w:pPr>
              <w:pStyle w:val="Compact"/>
              <w:jc w:val="right"/>
            </w:pPr>
            <w:r>
              <w:t xml:space="preserve">14,1 %</w:t>
            </w:r>
          </w:p>
        </w:tc>
      </w:tr>
      <w:tr>
        <w:tc>
          <w:tcPr/>
          <w:p>
            <w:pPr>
              <w:pStyle w:val="Compact"/>
              <w:jc w:val="left"/>
            </w:pPr>
            <w:r>
              <w:t xml:space="preserve">4e Région Militaire</w:t>
            </w:r>
          </w:p>
        </w:tc>
        <w:tc>
          <w:tcPr/>
          <w:p>
            <w:pPr>
              <w:pStyle w:val="Compact"/>
              <w:jc w:val="right"/>
            </w:pPr>
            <w:r>
              <w:t xml:space="preserve">16</w:t>
            </w:r>
          </w:p>
        </w:tc>
        <w:tc>
          <w:tcPr/>
          <w:p>
            <w:pPr>
              <w:pStyle w:val="Compact"/>
              <w:jc w:val="right"/>
            </w:pPr>
            <w:r>
              <w:t xml:space="preserve">7,5 %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1.2 : Répartition des PVVIH par 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CMA 1er Bton Akouedo</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CSA Escadron 3/1 Abobo</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CSA GMMG Plateau</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CSA GR Treichville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CMA Base Aérienne Abidjan</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CSA GR Plateau</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CSA Gendarmerie Dimbokro</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CSA Gendarmerie Bondoukou</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CMA 4e Bton Korhogo</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CSA 4e Legion Korhogo</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CSA 4e Cie GSPM Korhogo</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CSA 5e Legion San-Pedro</w:t>
            </w:r>
          </w:p>
        </w:tc>
        <w:tc>
          <w:tcPr/>
          <w:p>
            <w:pPr>
              <w:pStyle w:val="Compact"/>
              <w:jc w:val="right"/>
            </w:pPr>
            <w:r>
              <w:t xml:space="preserve">9</w:t>
            </w:r>
          </w:p>
        </w:tc>
        <w:tc>
          <w:tcPr/>
          <w:p>
            <w:pPr>
              <w:pStyle w:val="Compact"/>
              <w:jc w:val="right"/>
            </w:pPr>
            <w:r>
              <w:t xml:space="preserve">4,2 %</w:t>
            </w:r>
          </w:p>
        </w:tc>
      </w:tr>
      <w:tr>
        <w:tc>
          <w:tcPr/>
          <w:p>
            <w:pPr>
              <w:pStyle w:val="Compact"/>
              <w:jc w:val="left"/>
            </w:pPr>
            <w:r>
              <w:t xml:space="preserve">CSA Gendarmerie Soubre</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HMA</w:t>
            </w:r>
          </w:p>
        </w:tc>
        <w:tc>
          <w:tcPr/>
          <w:p>
            <w:pPr>
              <w:pStyle w:val="Compact"/>
              <w:jc w:val="right"/>
            </w:pPr>
            <w:r>
              <w:t xml:space="preserve">81</w:t>
            </w:r>
          </w:p>
        </w:tc>
        <w:tc>
          <w:tcPr/>
          <w:p>
            <w:pPr>
              <w:pStyle w:val="Compact"/>
              <w:jc w:val="right"/>
            </w:pPr>
            <w:r>
              <w:t xml:space="preserve">38,0 %</w:t>
            </w:r>
          </w:p>
        </w:tc>
      </w:tr>
      <w:tr>
        <w:tc>
          <w:tcPr/>
          <w:p>
            <w:pPr>
              <w:pStyle w:val="Compact"/>
              <w:jc w:val="left"/>
            </w:pPr>
            <w:r>
              <w:t xml:space="preserve">CPS AGBAN</w:t>
            </w:r>
          </w:p>
        </w:tc>
        <w:tc>
          <w:tcPr/>
          <w:p>
            <w:pPr>
              <w:pStyle w:val="Compact"/>
              <w:jc w:val="right"/>
            </w:pPr>
            <w:r>
              <w:t xml:space="preserve">14</w:t>
            </w:r>
          </w:p>
        </w:tc>
        <w:tc>
          <w:tcPr/>
          <w:p>
            <w:pPr>
              <w:pStyle w:val="Compact"/>
              <w:jc w:val="right"/>
            </w:pPr>
            <w:r>
              <w:t xml:space="preserve">6,6 %</w:t>
            </w:r>
          </w:p>
        </w:tc>
      </w:tr>
      <w:tr>
        <w:tc>
          <w:tcPr/>
          <w:p>
            <w:pPr>
              <w:pStyle w:val="Compact"/>
              <w:jc w:val="left"/>
            </w:pPr>
            <w:r>
              <w:t xml:space="preserve">CMA GSPM Indénié</w:t>
            </w:r>
          </w:p>
        </w:tc>
        <w:tc>
          <w:tcPr/>
          <w:p>
            <w:pPr>
              <w:pStyle w:val="Compact"/>
              <w:jc w:val="right"/>
            </w:pPr>
            <w:r>
              <w:t xml:space="preserve">10</w:t>
            </w:r>
          </w:p>
        </w:tc>
        <w:tc>
          <w:tcPr/>
          <w:p>
            <w:pPr>
              <w:pStyle w:val="Compact"/>
              <w:jc w:val="right"/>
            </w:pPr>
            <w:r>
              <w:t xml:space="preserve">4,7 %</w:t>
            </w:r>
          </w:p>
        </w:tc>
      </w:tr>
      <w:tr>
        <w:tc>
          <w:tcPr/>
          <w:p>
            <w:pPr>
              <w:pStyle w:val="Compact"/>
              <w:jc w:val="left"/>
            </w:pPr>
            <w:r>
              <w:t xml:space="preserve">CMA Base Navale Abidjan</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CSA Escadron 2/1 Yopougon</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CSA GR Yamoussoukro</w:t>
            </w:r>
          </w:p>
        </w:tc>
        <w:tc>
          <w:tcPr/>
          <w:p>
            <w:pPr>
              <w:pStyle w:val="Compact"/>
              <w:jc w:val="right"/>
            </w:pPr>
            <w:r>
              <w:t xml:space="preserve">9</w:t>
            </w:r>
          </w:p>
        </w:tc>
        <w:tc>
          <w:tcPr/>
          <w:p>
            <w:pPr>
              <w:pStyle w:val="Compact"/>
              <w:jc w:val="right"/>
            </w:pPr>
            <w:r>
              <w:t xml:space="preserve">4,2 %</w:t>
            </w:r>
          </w:p>
        </w:tc>
      </w:tr>
      <w:tr>
        <w:tc>
          <w:tcPr/>
          <w:p>
            <w:pPr>
              <w:pStyle w:val="Compact"/>
              <w:jc w:val="left"/>
            </w:pPr>
            <w:r>
              <w:t xml:space="preserve">CSA 5e Cie GSPM Yamoussoukro</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CSA 3e Légion Yamoussoukro</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CMA 3e Bton Bouaké</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CSA 3e Légion Bouaké</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Base Aérienne Bouaké</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CSA 1er Bton Génie Bouaké</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CSA 3e Cie GSPM Bouaké</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CSA BSNO Odienné</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CSA Légion Odienné</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CSA BSO Man</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CSA Escadron Man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CSA Guiglo</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CSA CEOP Seguela</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CMA 2e Bton Daloa</w:t>
            </w:r>
          </w:p>
        </w:tc>
        <w:tc>
          <w:tcPr/>
          <w:p>
            <w:pPr>
              <w:pStyle w:val="Compact"/>
              <w:jc w:val="right"/>
            </w:pPr>
            <w:r>
              <w:t xml:space="preserve">13</w:t>
            </w:r>
          </w:p>
        </w:tc>
        <w:tc>
          <w:tcPr/>
          <w:p>
            <w:pPr>
              <w:pStyle w:val="Compact"/>
              <w:jc w:val="right"/>
            </w:pPr>
            <w:r>
              <w:t xml:space="preserve">6,1 %</w:t>
            </w:r>
          </w:p>
        </w:tc>
      </w:tr>
      <w:tr>
        <w:tc>
          <w:tcPr/>
          <w:p>
            <w:pPr>
              <w:pStyle w:val="Compact"/>
              <w:jc w:val="left"/>
            </w:pPr>
            <w:r>
              <w:t xml:space="preserve">CSA 2e Légion Daloa</w:t>
            </w:r>
          </w:p>
        </w:tc>
        <w:tc>
          <w:tcPr/>
          <w:p>
            <w:pPr>
              <w:pStyle w:val="Compact"/>
              <w:jc w:val="right"/>
            </w:pPr>
            <w:r>
              <w:t xml:space="preserve">4</w:t>
            </w:r>
          </w:p>
        </w:tc>
        <w:tc>
          <w:tcPr/>
          <w:p>
            <w:pPr>
              <w:pStyle w:val="Compact"/>
              <w:jc w:val="right"/>
            </w:pPr>
            <w:r>
              <w:t xml:space="preserve">1,9 %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1.3 : Répartition des PVVIH par sexe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Masculin</w:t>
            </w:r>
          </w:p>
        </w:tc>
        <w:tc>
          <w:tcPr/>
          <w:p>
            <w:pPr>
              <w:pStyle w:val="Compact"/>
              <w:jc w:val="right"/>
            </w:pPr>
            <w:r>
              <w:t xml:space="preserve">80</w:t>
            </w:r>
          </w:p>
        </w:tc>
        <w:tc>
          <w:tcPr/>
          <w:p>
            <w:pPr>
              <w:pStyle w:val="Compact"/>
              <w:jc w:val="right"/>
            </w:pPr>
            <w:r>
              <w:t xml:space="preserve">37,6 %</w:t>
            </w:r>
          </w:p>
        </w:tc>
      </w:tr>
      <w:tr>
        <w:tc>
          <w:tcPr/>
          <w:p>
            <w:pPr>
              <w:pStyle w:val="Compact"/>
              <w:jc w:val="left"/>
            </w:pPr>
            <w:r>
              <w:t xml:space="preserve">Féminin</w:t>
            </w:r>
          </w:p>
        </w:tc>
        <w:tc>
          <w:tcPr/>
          <w:p>
            <w:pPr>
              <w:pStyle w:val="Compact"/>
              <w:jc w:val="right"/>
            </w:pPr>
            <w:r>
              <w:t xml:space="preserve">133</w:t>
            </w:r>
          </w:p>
        </w:tc>
        <w:tc>
          <w:tcPr/>
          <w:p>
            <w:pPr>
              <w:pStyle w:val="Compact"/>
              <w:jc w:val="right"/>
            </w:pPr>
            <w:r>
              <w:t xml:space="preserve">62,4 %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1.4 : 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46,91</w:t>
            </w:r>
          </w:p>
        </w:tc>
      </w:tr>
      <w:tr>
        <w:tc>
          <w:tcPr/>
          <w:p>
            <w:pPr>
              <w:pStyle w:val="Compact"/>
              <w:jc w:val="left"/>
            </w:pPr>
            <w:r>
              <w:t xml:space="preserve">Médiane</w:t>
            </w:r>
          </w:p>
        </w:tc>
        <w:tc>
          <w:tcPr/>
          <w:p>
            <w:pPr>
              <w:pStyle w:val="Compact"/>
              <w:jc w:val="right"/>
            </w:pPr>
            <w:r>
              <w:t xml:space="preserve">47,00</w:t>
            </w:r>
          </w:p>
        </w:tc>
      </w:tr>
      <w:tr>
        <w:tc>
          <w:tcPr/>
          <w:p>
            <w:pPr>
              <w:pStyle w:val="Compact"/>
              <w:jc w:val="left"/>
            </w:pPr>
            <w:r>
              <w:t xml:space="preserve">Écart-type</w:t>
            </w:r>
          </w:p>
        </w:tc>
        <w:tc>
          <w:tcPr/>
          <w:p>
            <w:pPr>
              <w:pStyle w:val="Compact"/>
              <w:jc w:val="right"/>
            </w:pPr>
            <w:r>
              <w:t xml:space="preserve">11,77</w:t>
            </w:r>
          </w:p>
        </w:tc>
      </w:tr>
      <w:tr>
        <w:tc>
          <w:tcPr/>
          <w:p>
            <w:pPr>
              <w:pStyle w:val="Compact"/>
              <w:jc w:val="left"/>
            </w:pPr>
            <w:r>
              <w:t xml:space="preserve">Minimum</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79</w:t>
            </w:r>
          </w:p>
        </w:tc>
      </w:tr>
    </w:tbl>
    <w:p>
      <w:pPr>
        <w:pStyle w:val="BodyText"/>
      </w:pPr>
    </w:p>
    <w:p>
      <w:pPr>
        <w:pStyle w:val="BodyText"/>
      </w:pPr>
      <w:r>
        <w:rPr>
          <w:b/>
          <w:bCs/>
        </w:rPr>
        <w:t xml:space="preserve">Tableau 1.5 : Répartition des PVVIH selon les classes d’âges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18-24</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25-59</w:t>
            </w:r>
          </w:p>
        </w:tc>
        <w:tc>
          <w:tcPr/>
          <w:p>
            <w:pPr>
              <w:pStyle w:val="Compact"/>
              <w:jc w:val="right"/>
            </w:pPr>
            <w:r>
              <w:t xml:space="preserve">183</w:t>
            </w:r>
          </w:p>
        </w:tc>
        <w:tc>
          <w:tcPr/>
          <w:p>
            <w:pPr>
              <w:pStyle w:val="Compact"/>
              <w:jc w:val="right"/>
            </w:pPr>
            <w:r>
              <w:t xml:space="preserve">85,9 %</w:t>
            </w:r>
          </w:p>
        </w:tc>
      </w:tr>
      <w:tr>
        <w:tc>
          <w:tcPr/>
          <w:p>
            <w:pPr>
              <w:pStyle w:val="Compact"/>
              <w:jc w:val="left"/>
            </w:pPr>
            <w:r>
              <w:t xml:space="preserve">60+</w:t>
            </w:r>
          </w:p>
        </w:tc>
        <w:tc>
          <w:tcPr/>
          <w:p>
            <w:pPr>
              <w:pStyle w:val="Compact"/>
              <w:jc w:val="right"/>
            </w:pPr>
            <w:r>
              <w:t xml:space="preserve">24</w:t>
            </w:r>
          </w:p>
        </w:tc>
        <w:tc>
          <w:tcPr/>
          <w:p>
            <w:pPr>
              <w:pStyle w:val="Compact"/>
              <w:jc w:val="right"/>
            </w:pPr>
            <w:r>
              <w:t xml:space="preserve">11,3 %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1.6 : Répartition des PVVIH selon le niveau d’éducation</w:t>
      </w:r>
    </w:p>
    <w:tbl>
      <w:tblPr>
        <w:tblStyle w:val="Table"/>
        <w:tblW w:type="pct" w:w="5000"/>
        <w:tblLayout w:type="fixed"/>
        <w:tblLook w:firstRow="1" w:lastRow="0" w:firstColumn="0" w:lastColumn="0" w:noHBand="0" w:noVBand="0" w:val="0020"/>
      </w:tblPr>
      <w:tblGrid>
        <w:gridCol w:w="5509"/>
        <w:gridCol w:w="1033"/>
        <w:gridCol w:w="1377"/>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Pas d’éducation formelle</w:t>
            </w:r>
          </w:p>
        </w:tc>
        <w:tc>
          <w:tcPr/>
          <w:p>
            <w:pPr>
              <w:pStyle w:val="Compact"/>
              <w:jc w:val="right"/>
            </w:pPr>
            <w:r>
              <w:t xml:space="preserve">52</w:t>
            </w:r>
          </w:p>
        </w:tc>
        <w:tc>
          <w:tcPr/>
          <w:p>
            <w:pPr>
              <w:pStyle w:val="Compact"/>
              <w:jc w:val="right"/>
            </w:pPr>
            <w:r>
              <w:t xml:space="preserve">24,4 %</w:t>
            </w:r>
          </w:p>
        </w:tc>
      </w:tr>
      <w:tr>
        <w:tc>
          <w:tcPr/>
          <w:p>
            <w:pPr>
              <w:pStyle w:val="Compact"/>
              <w:jc w:val="left"/>
            </w:pPr>
            <w:r>
              <w:t xml:space="preserve">Ecole primaire / Elémentaire / Equivalent local</w:t>
            </w:r>
          </w:p>
        </w:tc>
        <w:tc>
          <w:tcPr/>
          <w:p>
            <w:pPr>
              <w:pStyle w:val="Compact"/>
              <w:jc w:val="right"/>
            </w:pPr>
            <w:r>
              <w:t xml:space="preserve">56</w:t>
            </w:r>
          </w:p>
        </w:tc>
        <w:tc>
          <w:tcPr/>
          <w:p>
            <w:pPr>
              <w:pStyle w:val="Compact"/>
              <w:jc w:val="right"/>
            </w:pPr>
            <w:r>
              <w:t xml:space="preserve">26,3 %</w:t>
            </w:r>
          </w:p>
        </w:tc>
      </w:tr>
      <w:tr>
        <w:tc>
          <w:tcPr/>
          <w:p>
            <w:pPr>
              <w:pStyle w:val="Compact"/>
              <w:jc w:val="left"/>
            </w:pPr>
            <w:r>
              <w:t xml:space="preserve">Ecole secondaire / Lycée / Equivalent local</w:t>
            </w:r>
          </w:p>
        </w:tc>
        <w:tc>
          <w:tcPr/>
          <w:p>
            <w:pPr>
              <w:pStyle w:val="Compact"/>
              <w:jc w:val="right"/>
            </w:pPr>
            <w:r>
              <w:t xml:space="preserve">80</w:t>
            </w:r>
          </w:p>
        </w:tc>
        <w:tc>
          <w:tcPr/>
          <w:p>
            <w:pPr>
              <w:pStyle w:val="Compact"/>
              <w:jc w:val="right"/>
            </w:pPr>
            <w:r>
              <w:t xml:space="preserve">37,6 %</w:t>
            </w:r>
          </w:p>
        </w:tc>
      </w:tr>
      <w:tr>
        <w:tc>
          <w:tcPr/>
          <w:p>
            <w:pPr>
              <w:pStyle w:val="Compact"/>
              <w:jc w:val="left"/>
            </w:pPr>
            <w:r>
              <w:t xml:space="preserve">Ecole de métier / Formation professionnelle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Université / Enseignement supérieur</w:t>
            </w:r>
          </w:p>
        </w:tc>
        <w:tc>
          <w:tcPr/>
          <w:p>
            <w:pPr>
              <w:pStyle w:val="Compact"/>
              <w:jc w:val="right"/>
            </w:pPr>
            <w:r>
              <w:t xml:space="preserve">17</w:t>
            </w:r>
          </w:p>
        </w:tc>
        <w:tc>
          <w:tcPr/>
          <w:p>
            <w:pPr>
              <w:pStyle w:val="Compact"/>
              <w:jc w:val="right"/>
            </w:pPr>
            <w:r>
              <w:t xml:space="preserve">8,0 %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1.7 : Nombre moyen de personnes à charge vivant dans le ménage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3,77</w:t>
            </w:r>
          </w:p>
        </w:tc>
      </w:tr>
      <w:tr>
        <w:tc>
          <w:tcPr/>
          <w:p>
            <w:pPr>
              <w:pStyle w:val="Compact"/>
              <w:jc w:val="left"/>
            </w:pPr>
            <w:r>
              <w:t xml:space="preserve">Médiane</w:t>
            </w:r>
          </w:p>
        </w:tc>
        <w:tc>
          <w:tcPr/>
          <w:p>
            <w:pPr>
              <w:pStyle w:val="Compact"/>
              <w:jc w:val="right"/>
            </w:pPr>
            <w:r>
              <w:t xml:space="preserve">3,00</w:t>
            </w:r>
          </w:p>
        </w:tc>
      </w:tr>
      <w:tr>
        <w:tc>
          <w:tcPr/>
          <w:p>
            <w:pPr>
              <w:pStyle w:val="Compact"/>
              <w:jc w:val="left"/>
            </w:pPr>
            <w:r>
              <w:t xml:space="preserve">Écart-type</w:t>
            </w:r>
          </w:p>
        </w:tc>
        <w:tc>
          <w:tcPr/>
          <w:p>
            <w:pPr>
              <w:pStyle w:val="Compact"/>
              <w:jc w:val="right"/>
            </w:pPr>
            <w:r>
              <w:t xml:space="preserve">3,09</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Maximum</w:t>
            </w:r>
          </w:p>
        </w:tc>
        <w:tc>
          <w:tcPr/>
          <w:p>
            <w:pPr>
              <w:pStyle w:val="Compact"/>
              <w:jc w:val="right"/>
            </w:pPr>
            <w:r>
              <w:t xml:space="preserve">16</w:t>
            </w:r>
          </w:p>
        </w:tc>
      </w:tr>
    </w:tbl>
    <w:p>
      <w:pPr>
        <w:pStyle w:val="BodyText"/>
      </w:pPr>
    </w:p>
    <w:p>
      <w:pPr>
        <w:pStyle w:val="BodyText"/>
      </w:pPr>
      <w:r>
        <w:rPr>
          <w:b/>
          <w:bCs/>
        </w:rPr>
        <w:t xml:space="preserve">Tableau 1.8 : Répartition des PVVIH selon la catégorie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Personnel de défense (Militaire, gendarme)</w:t>
            </w:r>
          </w:p>
        </w:tc>
        <w:tc>
          <w:tcPr/>
          <w:p>
            <w:pPr>
              <w:pStyle w:val="Compact"/>
              <w:jc w:val="right"/>
            </w:pPr>
            <w:r>
              <w:t xml:space="preserve">34</w:t>
            </w:r>
          </w:p>
        </w:tc>
        <w:tc>
          <w:tcPr/>
          <w:p>
            <w:pPr>
              <w:pStyle w:val="Compact"/>
              <w:jc w:val="right"/>
            </w:pPr>
            <w:r>
              <w:t xml:space="preserve">16,0 %</w:t>
            </w:r>
          </w:p>
        </w:tc>
      </w:tr>
      <w:tr>
        <w:tc>
          <w:tcPr/>
          <w:p>
            <w:pPr>
              <w:pStyle w:val="Compact"/>
              <w:jc w:val="left"/>
            </w:pPr>
            <w:r>
              <w:t xml:space="preserve">Paramilitaire</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Civil</w:t>
            </w:r>
          </w:p>
        </w:tc>
        <w:tc>
          <w:tcPr/>
          <w:p>
            <w:pPr>
              <w:pStyle w:val="Compact"/>
              <w:jc w:val="right"/>
            </w:pPr>
            <w:r>
              <w:t xml:space="preserve">177</w:t>
            </w:r>
          </w:p>
        </w:tc>
        <w:tc>
          <w:tcPr/>
          <w:p>
            <w:pPr>
              <w:pStyle w:val="Compact"/>
              <w:jc w:val="right"/>
            </w:pPr>
            <w:r>
              <w:t xml:space="preserve">83,1 %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1.9 : Répartition des PVVIH selon la situation professionnelle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Employé</w:t>
            </w:r>
          </w:p>
        </w:tc>
        <w:tc>
          <w:tcPr/>
          <w:p>
            <w:pPr>
              <w:pStyle w:val="Compact"/>
              <w:jc w:val="right"/>
            </w:pPr>
            <w:r>
              <w:t xml:space="preserve">57</w:t>
            </w:r>
          </w:p>
        </w:tc>
        <w:tc>
          <w:tcPr/>
          <w:p>
            <w:pPr>
              <w:pStyle w:val="Compact"/>
              <w:jc w:val="right"/>
            </w:pPr>
            <w:r>
              <w:t xml:space="preserve">26,8 %</w:t>
            </w:r>
          </w:p>
        </w:tc>
      </w:tr>
      <w:tr>
        <w:tc>
          <w:tcPr/>
          <w:p>
            <w:pPr>
              <w:pStyle w:val="Compact"/>
              <w:jc w:val="left"/>
            </w:pPr>
            <w:r>
              <w:t xml:space="preserve">Indépendant ou entrepreneur</w:t>
            </w:r>
          </w:p>
        </w:tc>
        <w:tc>
          <w:tcPr/>
          <w:p>
            <w:pPr>
              <w:pStyle w:val="Compact"/>
              <w:jc w:val="right"/>
            </w:pPr>
            <w:r>
              <w:t xml:space="preserve">76</w:t>
            </w:r>
          </w:p>
        </w:tc>
        <w:tc>
          <w:tcPr/>
          <w:p>
            <w:pPr>
              <w:pStyle w:val="Compact"/>
              <w:jc w:val="right"/>
            </w:pPr>
            <w:r>
              <w:t xml:space="preserve">35,7 %</w:t>
            </w:r>
          </w:p>
        </w:tc>
      </w:tr>
      <w:tr>
        <w:tc>
          <w:tcPr/>
          <w:p>
            <w:pPr>
              <w:pStyle w:val="Compact"/>
              <w:jc w:val="left"/>
            </w:pPr>
            <w:r>
              <w:t xml:space="preserve">Retraité</w:t>
            </w:r>
          </w:p>
        </w:tc>
        <w:tc>
          <w:tcPr/>
          <w:p>
            <w:pPr>
              <w:pStyle w:val="Compact"/>
              <w:jc w:val="right"/>
            </w:pPr>
            <w:r>
              <w:t xml:space="preserve">16</w:t>
            </w:r>
          </w:p>
        </w:tc>
        <w:tc>
          <w:tcPr/>
          <w:p>
            <w:pPr>
              <w:pStyle w:val="Compact"/>
              <w:jc w:val="right"/>
            </w:pPr>
            <w:r>
              <w:t xml:space="preserve">7,5 %</w:t>
            </w:r>
          </w:p>
        </w:tc>
      </w:tr>
      <w:tr>
        <w:tc>
          <w:tcPr/>
          <w:p>
            <w:pPr>
              <w:pStyle w:val="Compact"/>
              <w:jc w:val="left"/>
            </w:pPr>
            <w:r>
              <w:t xml:space="preserve">Sans emploi</w:t>
            </w:r>
          </w:p>
        </w:tc>
        <w:tc>
          <w:tcPr/>
          <w:p>
            <w:pPr>
              <w:pStyle w:val="Compact"/>
              <w:jc w:val="right"/>
            </w:pPr>
            <w:r>
              <w:t xml:space="preserve">64</w:t>
            </w:r>
          </w:p>
        </w:tc>
        <w:tc>
          <w:tcPr/>
          <w:p>
            <w:pPr>
              <w:pStyle w:val="Compact"/>
              <w:jc w:val="right"/>
            </w:pPr>
            <w:r>
              <w:t xml:space="preserve">30,0 %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1.10 : Répartition des PVVIH selon le temps de travail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Travail à temps plein</w:t>
            </w:r>
          </w:p>
        </w:tc>
        <w:tc>
          <w:tcPr/>
          <w:p>
            <w:pPr>
              <w:pStyle w:val="Compact"/>
              <w:jc w:val="right"/>
            </w:pPr>
            <w:r>
              <w:t xml:space="preserve">89</w:t>
            </w:r>
          </w:p>
        </w:tc>
        <w:tc>
          <w:tcPr/>
          <w:p>
            <w:pPr>
              <w:pStyle w:val="Compact"/>
              <w:jc w:val="right"/>
            </w:pPr>
            <w:r>
              <w:t xml:space="preserve">41,8 %</w:t>
            </w:r>
          </w:p>
        </w:tc>
      </w:tr>
      <w:tr>
        <w:tc>
          <w:tcPr/>
          <w:p>
            <w:pPr>
              <w:pStyle w:val="Compact"/>
              <w:jc w:val="left"/>
            </w:pPr>
            <w:r>
              <w:t xml:space="preserve">Travail à temps partiel</w:t>
            </w:r>
          </w:p>
        </w:tc>
        <w:tc>
          <w:tcPr/>
          <w:p>
            <w:pPr>
              <w:pStyle w:val="Compact"/>
              <w:jc w:val="right"/>
            </w:pPr>
            <w:r>
              <w:t xml:space="preserve">124</w:t>
            </w:r>
          </w:p>
        </w:tc>
        <w:tc>
          <w:tcPr/>
          <w:p>
            <w:pPr>
              <w:pStyle w:val="Compact"/>
              <w:jc w:val="right"/>
            </w:pPr>
            <w:r>
              <w:t xml:space="preserve">58,2 %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1.11 : Répartition des PVVIH selon leur situation de relation intime/sexuelle actuelle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69</w:t>
            </w:r>
          </w:p>
        </w:tc>
        <w:tc>
          <w:tcPr/>
          <w:p>
            <w:pPr>
              <w:pStyle w:val="Compact"/>
              <w:jc w:val="right"/>
            </w:pPr>
            <w:r>
              <w:t xml:space="preserve">32,4 %</w:t>
            </w:r>
          </w:p>
        </w:tc>
      </w:tr>
      <w:tr>
        <w:tc>
          <w:tcPr/>
          <w:p>
            <w:pPr>
              <w:pStyle w:val="Compact"/>
              <w:jc w:val="left"/>
            </w:pPr>
            <w:r>
              <w:t xml:space="preserve">Oui</w:t>
            </w:r>
          </w:p>
        </w:tc>
        <w:tc>
          <w:tcPr/>
          <w:p>
            <w:pPr>
              <w:pStyle w:val="Compact"/>
              <w:jc w:val="right"/>
            </w:pPr>
            <w:r>
              <w:t xml:space="preserve">138</w:t>
            </w:r>
          </w:p>
        </w:tc>
        <w:tc>
          <w:tcPr/>
          <w:p>
            <w:pPr>
              <w:pStyle w:val="Compact"/>
              <w:jc w:val="right"/>
            </w:pPr>
            <w:r>
              <w:t xml:space="preserve">64,8 %</w:t>
            </w:r>
          </w:p>
        </w:tc>
      </w:tr>
      <w:tr>
        <w:tc>
          <w:tcPr/>
          <w:p>
            <w:pPr>
              <w:pStyle w:val="Compact"/>
              <w:jc w:val="left"/>
            </w:pPr>
            <w:r>
              <w:t xml:space="preserve">Pas de reponse</w:t>
            </w:r>
          </w:p>
        </w:tc>
        <w:tc>
          <w:tcPr/>
          <w:p>
            <w:pPr>
              <w:pStyle w:val="Compact"/>
              <w:jc w:val="right"/>
            </w:pPr>
            <w:r>
              <w:t xml:space="preserve">6</w:t>
            </w:r>
          </w:p>
        </w:tc>
        <w:tc>
          <w:tcPr/>
          <w:p>
            <w:pPr>
              <w:pStyle w:val="Compact"/>
              <w:jc w:val="right"/>
            </w:pPr>
            <w:r>
              <w:t xml:space="preserve">2,8 %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1.12 : Répartition des PVVIH selon leur connaissance du statut sérologique de leurs partenaires</w:t>
      </w:r>
    </w:p>
    <w:tbl>
      <w:tblPr>
        <w:tblStyle w:val="Table"/>
        <w:tblW w:type="pct" w:w="5000"/>
        <w:tblLayout w:type="fixed"/>
        <w:tblLook w:firstRow="1" w:lastRow="0" w:firstColumn="0" w:lastColumn="0" w:noHBand="0" w:noVBand="0" w:val="0020"/>
      </w:tblPr>
      <w:tblGrid>
        <w:gridCol w:w="5940"/>
        <w:gridCol w:w="848"/>
        <w:gridCol w:w="1131"/>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Oui, mon/ma/mes partenaire(s) a/ont aussi le VIH</w:t>
            </w:r>
          </w:p>
        </w:tc>
        <w:tc>
          <w:tcPr/>
          <w:p>
            <w:pPr>
              <w:pStyle w:val="Compact"/>
              <w:jc w:val="right"/>
            </w:pPr>
            <w:r>
              <w:t xml:space="preserve">49</w:t>
            </w:r>
          </w:p>
        </w:tc>
        <w:tc>
          <w:tcPr/>
          <w:p>
            <w:pPr>
              <w:pStyle w:val="Compact"/>
              <w:jc w:val="right"/>
            </w:pPr>
            <w:r>
              <w:t xml:space="preserve">23,0 %</w:t>
            </w:r>
          </w:p>
        </w:tc>
      </w:tr>
      <w:tr>
        <w:tc>
          <w:tcPr/>
          <w:p>
            <w:pPr>
              <w:pStyle w:val="Compact"/>
              <w:jc w:val="left"/>
            </w:pPr>
            <w:r>
              <w:t xml:space="preserve">Non, mon/ma/mes partenaire(s) n’a/n’ont pas le VIH</w:t>
            </w:r>
          </w:p>
        </w:tc>
        <w:tc>
          <w:tcPr/>
          <w:p>
            <w:pPr>
              <w:pStyle w:val="Compact"/>
              <w:jc w:val="right"/>
            </w:pPr>
            <w:r>
              <w:t xml:space="preserve">88</w:t>
            </w:r>
          </w:p>
        </w:tc>
        <w:tc>
          <w:tcPr/>
          <w:p>
            <w:pPr>
              <w:pStyle w:val="Compact"/>
              <w:jc w:val="right"/>
            </w:pPr>
            <w:r>
              <w:t xml:space="preserve">41,3 %</w:t>
            </w:r>
          </w:p>
        </w:tc>
      </w:tr>
      <w:tr>
        <w:tc>
          <w:tcPr/>
          <w:p>
            <w:pPr>
              <w:pStyle w:val="Compact"/>
              <w:jc w:val="left"/>
            </w:pPr>
            <w:r>
              <w:t xml:space="preserve">Incertain(e) du statut sérologique de mon/ma/mes partenaire(s)</w:t>
            </w:r>
          </w:p>
        </w:tc>
        <w:tc>
          <w:tcPr/>
          <w:p>
            <w:pPr>
              <w:pStyle w:val="Compact"/>
              <w:jc w:val="right"/>
            </w:pPr>
            <w:r>
              <w:t xml:space="preserve">18</w:t>
            </w:r>
          </w:p>
        </w:tc>
        <w:tc>
          <w:tcPr/>
          <w:p>
            <w:pPr>
              <w:pStyle w:val="Compact"/>
              <w:jc w:val="right"/>
            </w:pPr>
            <w:r>
              <w:t xml:space="preserve">8,5 %</w:t>
            </w:r>
          </w:p>
        </w:tc>
      </w:tr>
      <w:tr>
        <w:tc>
          <w:tcPr/>
          <w:p>
            <w:pPr>
              <w:pStyle w:val="Compact"/>
              <w:jc w:val="left"/>
            </w:pPr>
            <w:r>
              <w:t xml:space="preserve">Ne s’applique pas</w:t>
            </w:r>
          </w:p>
        </w:tc>
        <w:tc>
          <w:tcPr/>
          <w:p>
            <w:pPr>
              <w:pStyle w:val="Compact"/>
              <w:jc w:val="right"/>
            </w:pPr>
            <w:r>
              <w:t xml:space="preserve">58</w:t>
            </w:r>
          </w:p>
        </w:tc>
        <w:tc>
          <w:tcPr/>
          <w:p>
            <w:pPr>
              <w:pStyle w:val="Compact"/>
              <w:jc w:val="right"/>
            </w:pPr>
            <w:r>
              <w:t xml:space="preserve">27,2 %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1.13 : Répartition des PVVIH selon leur appartenance à un groupe de soutien et/ou un réseau de personnes vivant avec le VIH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161</w:t>
            </w:r>
          </w:p>
        </w:tc>
        <w:tc>
          <w:tcPr/>
          <w:p>
            <w:pPr>
              <w:pStyle w:val="Compact"/>
              <w:jc w:val="right"/>
            </w:pPr>
            <w:r>
              <w:t xml:space="preserve">75,6 %</w:t>
            </w:r>
          </w:p>
        </w:tc>
      </w:tr>
      <w:tr>
        <w:tc>
          <w:tcPr/>
          <w:p>
            <w:pPr>
              <w:pStyle w:val="Compact"/>
              <w:jc w:val="left"/>
            </w:pPr>
            <w:r>
              <w:t xml:space="preserve">Oui</w:t>
            </w:r>
          </w:p>
        </w:tc>
        <w:tc>
          <w:tcPr/>
          <w:p>
            <w:pPr>
              <w:pStyle w:val="Compact"/>
              <w:jc w:val="right"/>
            </w:pPr>
            <w:r>
              <w:t xml:space="preserve">50</w:t>
            </w:r>
          </w:p>
        </w:tc>
        <w:tc>
          <w:tcPr/>
          <w:p>
            <w:pPr>
              <w:pStyle w:val="Compact"/>
              <w:jc w:val="right"/>
            </w:pPr>
            <w:r>
              <w:t xml:space="preserve">23,5 %</w:t>
            </w:r>
          </w:p>
        </w:tc>
      </w:tr>
      <w:tr>
        <w:tc>
          <w:tcPr/>
          <w:p>
            <w:pPr>
              <w:pStyle w:val="Compact"/>
              <w:jc w:val="left"/>
            </w:pPr>
            <w:r>
              <w:t xml:space="preserve">Pas de reponse</w:t>
            </w:r>
          </w:p>
        </w:tc>
        <w:tc>
          <w:tcPr/>
          <w:p>
            <w:pPr>
              <w:pStyle w:val="Compact"/>
              <w:jc w:val="right"/>
            </w:pPr>
            <w:r>
              <w:t xml:space="preserve">2</w:t>
            </w:r>
          </w:p>
        </w:tc>
        <w:tc>
          <w:tcPr/>
          <w:p>
            <w:pPr>
              <w:pStyle w:val="Compact"/>
              <w:jc w:val="right"/>
            </w:pPr>
            <w:r>
              <w:t xml:space="preserve">0,9 %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1.14 : Répartition des patients selon leur incapacité à combler des besoins fondamentaux (manger, boire, dormir, se soigner, etc.)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Jamais</w:t>
            </w:r>
          </w:p>
        </w:tc>
        <w:tc>
          <w:tcPr/>
          <w:p>
            <w:pPr>
              <w:pStyle w:val="Compact"/>
              <w:jc w:val="right"/>
            </w:pPr>
            <w:r>
              <w:t xml:space="preserve">147</w:t>
            </w:r>
          </w:p>
        </w:tc>
        <w:tc>
          <w:tcPr/>
          <w:p>
            <w:pPr>
              <w:pStyle w:val="Compact"/>
              <w:jc w:val="right"/>
            </w:pPr>
            <w:r>
              <w:t xml:space="preserve">69,0 %</w:t>
            </w:r>
          </w:p>
        </w:tc>
      </w:tr>
      <w:tr>
        <w:tc>
          <w:tcPr/>
          <w:p>
            <w:pPr>
              <w:pStyle w:val="Compact"/>
              <w:jc w:val="left"/>
            </w:pPr>
            <w:r>
              <w:t xml:space="preserve">Une partie du temps</w:t>
            </w:r>
          </w:p>
        </w:tc>
        <w:tc>
          <w:tcPr/>
          <w:p>
            <w:pPr>
              <w:pStyle w:val="Compact"/>
              <w:jc w:val="right"/>
            </w:pPr>
            <w:r>
              <w:t xml:space="preserve">54</w:t>
            </w:r>
          </w:p>
        </w:tc>
        <w:tc>
          <w:tcPr/>
          <w:p>
            <w:pPr>
              <w:pStyle w:val="Compact"/>
              <w:jc w:val="right"/>
            </w:pPr>
            <w:r>
              <w:t xml:space="preserve">25,4 %</w:t>
            </w:r>
          </w:p>
        </w:tc>
      </w:tr>
      <w:tr>
        <w:tc>
          <w:tcPr/>
          <w:p>
            <w:pPr>
              <w:pStyle w:val="Compact"/>
              <w:jc w:val="left"/>
            </w:pPr>
            <w:r>
              <w:t xml:space="preserve">La plupart du temps</w:t>
            </w:r>
          </w:p>
        </w:tc>
        <w:tc>
          <w:tcPr/>
          <w:p>
            <w:pPr>
              <w:pStyle w:val="Compact"/>
              <w:jc w:val="right"/>
            </w:pPr>
            <w:r>
              <w:t xml:space="preserve">12</w:t>
            </w:r>
          </w:p>
        </w:tc>
        <w:tc>
          <w:tcPr/>
          <w:p>
            <w:pPr>
              <w:pStyle w:val="Compact"/>
              <w:jc w:val="right"/>
            </w:pPr>
            <w:r>
              <w:t xml:space="preserve">5,6 %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1"/>
    <w:bookmarkStart w:id="23" w:name="X983c7da50353f46ed61c572844cf7b575b39aec"/>
    <w:p>
      <w:pPr>
        <w:pStyle w:val="Heading1"/>
      </w:pPr>
      <w:r>
        <w:rPr>
          <w:rStyle w:val="SectionNumber"/>
        </w:rPr>
        <w:t xml:space="preserve">3</w:t>
      </w:r>
      <w:r>
        <w:tab/>
      </w:r>
      <w:r>
        <w:t xml:space="preserve">Section 2 : Interactions avec les services de soins de santé concernant le dépistage et le suivi médical</w:t>
      </w:r>
    </w:p>
    <w:p>
      <w:pPr>
        <w:pStyle w:val="FirstParagraph"/>
      </w:pPr>
      <w:r>
        <w:rPr>
          <w:b/>
          <w:bCs/>
        </w:rPr>
        <w:t xml:space="preserve">Tableau 2.1 : Répartition des PVVIH selon le choix de décision de dépistage VIH</w:t>
      </w:r>
    </w:p>
    <w:tbl>
      <w:tblPr>
        <w:tblStyle w:val="Table"/>
        <w:tblW w:type="pct" w:w="5000"/>
        <w:tblLayout w:type="fixed"/>
        <w:tblLook w:firstRow="1" w:lastRow="0" w:firstColumn="0" w:lastColumn="0" w:noHBand="0" w:noVBand="0" w:val="0020"/>
      </w:tblPr>
      <w:tblGrid>
        <w:gridCol w:w="6867"/>
        <w:gridCol w:w="451"/>
        <w:gridCol w:w="601"/>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 j’ai été dépisté(e) à mon insu et je ne l’ai su qu’après le test</w:t>
            </w:r>
          </w:p>
        </w:tc>
        <w:tc>
          <w:tcPr/>
          <w:p>
            <w:pPr>
              <w:pStyle w:val="Compact"/>
              <w:jc w:val="right"/>
            </w:pPr>
            <w:r>
              <w:t xml:space="preserve">25</w:t>
            </w:r>
          </w:p>
        </w:tc>
        <w:tc>
          <w:tcPr/>
          <w:p>
            <w:pPr>
              <w:pStyle w:val="Compact"/>
              <w:jc w:val="right"/>
            </w:pPr>
            <w:r>
              <w:t xml:space="preserve">11,7 %</w:t>
            </w:r>
          </w:p>
        </w:tc>
      </w:tr>
      <w:tr>
        <w:tc>
          <w:tcPr/>
          <w:p>
            <w:pPr>
              <w:pStyle w:val="Compact"/>
              <w:jc w:val="left"/>
            </w:pPr>
            <w:r>
              <w:t xml:space="preserve">Non, j’ai été forcé(e) au dépistage du VIH sans mon consentement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Non, je suis né(e) avec le VIH ou je l’ai contracté pendant la petite enfance ou l’enfance, et je ne savais pas qu’on m’avait dépisté(e)</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Oui, c’était mon choix</w:t>
            </w:r>
          </w:p>
        </w:tc>
        <w:tc>
          <w:tcPr/>
          <w:p>
            <w:pPr>
              <w:pStyle w:val="Compact"/>
              <w:jc w:val="right"/>
            </w:pPr>
            <w:r>
              <w:t xml:space="preserve">129</w:t>
            </w:r>
          </w:p>
        </w:tc>
        <w:tc>
          <w:tcPr/>
          <w:p>
            <w:pPr>
              <w:pStyle w:val="Compact"/>
              <w:jc w:val="right"/>
            </w:pPr>
            <w:r>
              <w:t xml:space="preserve">60,6 %</w:t>
            </w:r>
          </w:p>
        </w:tc>
      </w:tr>
      <w:tr>
        <w:tc>
          <w:tcPr/>
          <w:p>
            <w:pPr>
              <w:pStyle w:val="Compact"/>
              <w:jc w:val="left"/>
            </w:pPr>
            <w:r>
              <w:t xml:space="preserve">Oui, mais c’était sous la pression d’autres personnes</w:t>
            </w:r>
          </w:p>
        </w:tc>
        <w:tc>
          <w:tcPr/>
          <w:p>
            <w:pPr>
              <w:pStyle w:val="Compact"/>
              <w:jc w:val="right"/>
            </w:pPr>
            <w:r>
              <w:t xml:space="preserve">56</w:t>
            </w:r>
          </w:p>
        </w:tc>
        <w:tc>
          <w:tcPr/>
          <w:p>
            <w:pPr>
              <w:pStyle w:val="Compact"/>
              <w:jc w:val="right"/>
            </w:pPr>
            <w:r>
              <w:t xml:space="preserve">26,3 %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2.2 : Répartition des PVVIH selon la raison principale pour laquelle un test de dépistage du VIH a été réalisé</w:t>
      </w:r>
    </w:p>
    <w:tbl>
      <w:tblPr>
        <w:tblStyle w:val="Table"/>
        <w:tblW w:type="pct" w:w="5000"/>
        <w:tblLayout w:type="fixed"/>
        <w:tblLook w:firstRow="1" w:lastRow="0" w:firstColumn="0" w:lastColumn="0" w:noHBand="0" w:noVBand="0" w:val="0020"/>
      </w:tblPr>
      <w:tblGrid>
        <w:gridCol w:w="7290"/>
        <w:gridCol w:w="270"/>
        <w:gridCol w:w="36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Un prestataire me l’a recommandé, ou on l’a effectué dans le cadre d’autres soins de santé (p. ex., consultation en routine, soins prénatals, circoncision médicale masculine, dépistage/traitement d’IST, PrEP)</w:t>
            </w:r>
          </w:p>
        </w:tc>
        <w:tc>
          <w:tcPr/>
          <w:p>
            <w:pPr>
              <w:pStyle w:val="Compact"/>
              <w:jc w:val="right"/>
            </w:pPr>
            <w:r>
              <w:t xml:space="preserve">68</w:t>
            </w:r>
          </w:p>
        </w:tc>
        <w:tc>
          <w:tcPr/>
          <w:p>
            <w:pPr>
              <w:pStyle w:val="Compact"/>
              <w:jc w:val="right"/>
            </w:pPr>
            <w:r>
              <w:t xml:space="preserve">31,9 %</w:t>
            </w:r>
          </w:p>
        </w:tc>
      </w:tr>
      <w:tr>
        <w:tc>
          <w:tcPr/>
          <w:p>
            <w:pPr>
              <w:pStyle w:val="Compact"/>
              <w:jc w:val="left"/>
            </w:pPr>
            <w:r>
              <w:t xml:space="preserve">Je croyais être une personne à risque pour le VIH</w:t>
            </w:r>
          </w:p>
        </w:tc>
        <w:tc>
          <w:tcPr/>
          <w:p>
            <w:pPr>
              <w:pStyle w:val="Compact"/>
              <w:jc w:val="right"/>
            </w:pPr>
            <w:r>
              <w:t xml:space="preserve">18</w:t>
            </w:r>
          </w:p>
        </w:tc>
        <w:tc>
          <w:tcPr/>
          <w:p>
            <w:pPr>
              <w:pStyle w:val="Compact"/>
              <w:jc w:val="right"/>
            </w:pPr>
            <w:r>
              <w:t xml:space="preserve">8,5 %</w:t>
            </w:r>
          </w:p>
        </w:tc>
      </w:tr>
      <w:tr>
        <w:tc>
          <w:tcPr/>
          <w:p>
            <w:pPr>
              <w:pStyle w:val="Compact"/>
              <w:jc w:val="left"/>
            </w:pPr>
            <w:r>
              <w:t xml:space="preserve">Je me sentais malade et j’ai pensé (ou ma famille a pensé) que c’était peut-être lié au VIH</w:t>
            </w:r>
          </w:p>
        </w:tc>
        <w:tc>
          <w:tcPr/>
          <w:p>
            <w:pPr>
              <w:pStyle w:val="Compact"/>
              <w:jc w:val="right"/>
            </w:pPr>
            <w:r>
              <w:t xml:space="preserve">96</w:t>
            </w:r>
          </w:p>
        </w:tc>
        <w:tc>
          <w:tcPr/>
          <w:p>
            <w:pPr>
              <w:pStyle w:val="Compact"/>
              <w:jc w:val="right"/>
            </w:pPr>
            <w:r>
              <w:t xml:space="preserve">45,1 %</w:t>
            </w:r>
          </w:p>
        </w:tc>
      </w:tr>
      <w:tr>
        <w:tc>
          <w:tcPr/>
          <w:p>
            <w:pPr>
              <w:pStyle w:val="Compact"/>
              <w:jc w:val="left"/>
            </w:pPr>
            <w:r>
              <w:t xml:space="preserve">C’était une exigence (p. ex., emploi, visa/citoyenneté, incarcération, mariage, pour accéder aux soins prénataux)</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Je voulais savoir tout simplement</w:t>
            </w:r>
          </w:p>
        </w:tc>
        <w:tc>
          <w:tcPr/>
          <w:p>
            <w:pPr>
              <w:pStyle w:val="Compact"/>
              <w:jc w:val="right"/>
            </w:pPr>
            <w:r>
              <w:t xml:space="preserve">17</w:t>
            </w:r>
          </w:p>
        </w:tc>
        <w:tc>
          <w:tcPr/>
          <w:p>
            <w:pPr>
              <w:pStyle w:val="Compact"/>
              <w:jc w:val="right"/>
            </w:pPr>
            <w:r>
              <w:t xml:space="preserve">8,0 %</w:t>
            </w:r>
          </w:p>
        </w:tc>
      </w:tr>
      <w:tr>
        <w:tc>
          <w:tcPr/>
          <w:p>
            <w:pPr>
              <w:pStyle w:val="Compact"/>
              <w:jc w:val="left"/>
            </w:pPr>
            <w:r>
              <w:t xml:space="preserve">Autres raisons (suite au décès ou à la maladie de mon/ma partenaire/mon enfant ; suite à un viol ; suite à l’auto test ; test de grossesse ; lors du don de sang ; suite à la tuberculose, suite à ou dans le cadre d’un programme communautaire…)</w:t>
            </w:r>
          </w:p>
        </w:tc>
        <w:tc>
          <w:tcPr/>
          <w:p>
            <w:pPr>
              <w:pStyle w:val="Compact"/>
              <w:jc w:val="right"/>
            </w:pPr>
            <w:r>
              <w:t xml:space="preserve">8</w:t>
            </w:r>
          </w:p>
        </w:tc>
        <w:tc>
          <w:tcPr/>
          <w:p>
            <w:pPr>
              <w:pStyle w:val="Compact"/>
              <w:jc w:val="right"/>
            </w:pPr>
            <w:r>
              <w:t xml:space="preserve">3,8 %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2.3 : Répartition des PVVIH selon leur appréhension à se faire dépister par peur des réactions des autres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146</w:t>
            </w:r>
          </w:p>
        </w:tc>
        <w:tc>
          <w:tcPr/>
          <w:p>
            <w:pPr>
              <w:pStyle w:val="Compact"/>
              <w:jc w:val="right"/>
            </w:pPr>
            <w:r>
              <w:t xml:space="preserve">68,5 %</w:t>
            </w:r>
          </w:p>
        </w:tc>
      </w:tr>
      <w:tr>
        <w:tc>
          <w:tcPr/>
          <w:p>
            <w:pPr>
              <w:pStyle w:val="Compact"/>
              <w:jc w:val="left"/>
            </w:pPr>
            <w:r>
              <w:t xml:space="preserve">Oui</w:t>
            </w:r>
          </w:p>
        </w:tc>
        <w:tc>
          <w:tcPr/>
          <w:p>
            <w:pPr>
              <w:pStyle w:val="Compact"/>
              <w:jc w:val="right"/>
            </w:pPr>
            <w:r>
              <w:t xml:space="preserve">61</w:t>
            </w:r>
          </w:p>
        </w:tc>
        <w:tc>
          <w:tcPr/>
          <w:p>
            <w:pPr>
              <w:pStyle w:val="Compact"/>
              <w:jc w:val="right"/>
            </w:pPr>
            <w:r>
              <w:t xml:space="preserve">28,6 %</w:t>
            </w:r>
          </w:p>
        </w:tc>
      </w:tr>
      <w:tr>
        <w:tc>
          <w:tcPr/>
          <w:p>
            <w:pPr>
              <w:pStyle w:val="Compact"/>
              <w:jc w:val="left"/>
            </w:pPr>
            <w:r>
              <w:t xml:space="preserve">Pas de reponse</w:t>
            </w:r>
          </w:p>
        </w:tc>
        <w:tc>
          <w:tcPr/>
          <w:p>
            <w:pPr>
              <w:pStyle w:val="Compact"/>
              <w:jc w:val="right"/>
            </w:pPr>
            <w:r>
              <w:t xml:space="preserve">6</w:t>
            </w:r>
          </w:p>
        </w:tc>
        <w:tc>
          <w:tcPr/>
          <w:p>
            <w:pPr>
              <w:pStyle w:val="Compact"/>
              <w:jc w:val="right"/>
            </w:pPr>
            <w:r>
              <w:t xml:space="preserve">2,8 %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2.4 : Répartition des PVVIH selon le délai avant le début du traitement (antirétroviral)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&gt;1 jour</w:t>
            </w:r>
          </w:p>
        </w:tc>
        <w:tc>
          <w:tcPr/>
          <w:p>
            <w:pPr>
              <w:pStyle w:val="Compact"/>
              <w:jc w:val="right"/>
            </w:pPr>
            <w:r>
              <w:t xml:space="preserve">54</w:t>
            </w:r>
          </w:p>
        </w:tc>
        <w:tc>
          <w:tcPr/>
          <w:p>
            <w:pPr>
              <w:pStyle w:val="Compact"/>
              <w:jc w:val="right"/>
            </w:pPr>
            <w:r>
              <w:t xml:space="preserve">25,4 %</w:t>
            </w:r>
          </w:p>
        </w:tc>
      </w:tr>
      <w:tr>
        <w:tc>
          <w:tcPr/>
          <w:p>
            <w:pPr>
              <w:pStyle w:val="Compact"/>
              <w:jc w:val="left"/>
            </w:pPr>
            <w:r>
              <w:t xml:space="preserve">&gt;1 mois</w:t>
            </w:r>
          </w:p>
        </w:tc>
        <w:tc>
          <w:tcPr/>
          <w:p>
            <w:pPr>
              <w:pStyle w:val="Compact"/>
              <w:jc w:val="right"/>
            </w:pPr>
            <w:r>
              <w:t xml:space="preserve">19</w:t>
            </w:r>
          </w:p>
        </w:tc>
        <w:tc>
          <w:tcPr/>
          <w:p>
            <w:pPr>
              <w:pStyle w:val="Compact"/>
              <w:jc w:val="right"/>
            </w:pPr>
            <w:r>
              <w:t xml:space="preserve">8,9 %</w:t>
            </w:r>
          </w:p>
        </w:tc>
      </w:tr>
      <w:tr>
        <w:tc>
          <w:tcPr/>
          <w:p>
            <w:pPr>
              <w:pStyle w:val="Compact"/>
              <w:jc w:val="left"/>
            </w:pPr>
            <w:r>
              <w:t xml:space="preserve">&gt;6 mois</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Immédiat</w:t>
            </w:r>
          </w:p>
        </w:tc>
        <w:tc>
          <w:tcPr/>
          <w:p>
            <w:pPr>
              <w:pStyle w:val="Compact"/>
              <w:jc w:val="right"/>
            </w:pPr>
            <w:r>
              <w:t xml:space="preserve">101</w:t>
            </w:r>
          </w:p>
        </w:tc>
        <w:tc>
          <w:tcPr/>
          <w:p>
            <w:pPr>
              <w:pStyle w:val="Compact"/>
              <w:jc w:val="right"/>
            </w:pPr>
            <w:r>
              <w:t xml:space="preserve">47,4 %</w:t>
            </w:r>
          </w:p>
        </w:tc>
      </w:tr>
      <w:tr>
        <w:tc>
          <w:tcPr/>
          <w:p>
            <w:pPr>
              <w:pStyle w:val="Compact"/>
              <w:jc w:val="left"/>
            </w:pPr>
            <w:r>
              <w:t xml:space="preserve">Je ne me souviens pas</w:t>
            </w:r>
          </w:p>
        </w:tc>
        <w:tc>
          <w:tcPr/>
          <w:p>
            <w:pPr>
              <w:pStyle w:val="Compact"/>
              <w:jc w:val="right"/>
            </w:pPr>
            <w:r>
              <w:t xml:space="preserve">31</w:t>
            </w:r>
          </w:p>
        </w:tc>
        <w:tc>
          <w:tcPr/>
          <w:p>
            <w:pPr>
              <w:pStyle w:val="Compact"/>
              <w:jc w:val="right"/>
            </w:pPr>
            <w:r>
              <w:t xml:space="preserve">14,6 %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2.5 : Répartition des PVVIH selon leur accès à la charge virale au cours des 12 derniers mois</w:t>
      </w:r>
    </w:p>
    <w:tbl>
      <w:tblPr>
        <w:tblStyle w:val="Table"/>
        <w:tblW w:type="pct" w:w="5000"/>
        <w:tblLayout w:type="fixed"/>
        <w:tblLook w:firstRow="1" w:lastRow="0" w:firstColumn="0" w:lastColumn="0" w:noHBand="0" w:noVBand="0" w:val="0020"/>
      </w:tblPr>
      <w:tblGrid>
        <w:gridCol w:w="6305"/>
        <w:gridCol w:w="692"/>
        <w:gridCol w:w="922"/>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Je ne sais pas ce qu’est la charge virale ou la suppression virale</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Non ; Je n’ai jamais passé de test de charge virale</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Non ; je n’ai pas passé de test de la charge virale au cours des 12 derniers mois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Non ; j’ai passé un test de la charge virale et j’attends le résultat</w:t>
            </w:r>
          </w:p>
        </w:tc>
        <w:tc>
          <w:tcPr/>
          <w:p>
            <w:pPr>
              <w:pStyle w:val="Compact"/>
              <w:jc w:val="right"/>
            </w:pPr>
            <w:r>
              <w:t xml:space="preserve">45</w:t>
            </w:r>
          </w:p>
        </w:tc>
        <w:tc>
          <w:tcPr/>
          <w:p>
            <w:pPr>
              <w:pStyle w:val="Compact"/>
              <w:jc w:val="right"/>
            </w:pPr>
            <w:r>
              <w:t xml:space="preserve">21,1 %</w:t>
            </w:r>
          </w:p>
        </w:tc>
      </w:tr>
      <w:tr>
        <w:tc>
          <w:tcPr/>
          <w:p>
            <w:pPr>
              <w:pStyle w:val="Compact"/>
              <w:jc w:val="left"/>
            </w:pPr>
            <w:r>
              <w:t xml:space="preserve">Non ; le virus était détectable/je n’ai pas atteint la suppression virale</w:t>
            </w:r>
          </w:p>
        </w:tc>
        <w:tc>
          <w:tcPr/>
          <w:p>
            <w:pPr>
              <w:pStyle w:val="Compact"/>
              <w:jc w:val="right"/>
            </w:pPr>
            <w:r>
              <w:t xml:space="preserve">14</w:t>
            </w:r>
          </w:p>
        </w:tc>
        <w:tc>
          <w:tcPr/>
          <w:p>
            <w:pPr>
              <w:pStyle w:val="Compact"/>
              <w:jc w:val="right"/>
            </w:pPr>
            <w:r>
              <w:t xml:space="preserve">6,6 %</w:t>
            </w:r>
          </w:p>
        </w:tc>
      </w:tr>
      <w:tr>
        <w:tc>
          <w:tcPr/>
          <w:p>
            <w:pPr>
              <w:pStyle w:val="Compact"/>
              <w:jc w:val="left"/>
            </w:pPr>
            <w:r>
              <w:t xml:space="preserve">Oui</w:t>
            </w:r>
          </w:p>
        </w:tc>
        <w:tc>
          <w:tcPr/>
          <w:p>
            <w:pPr>
              <w:pStyle w:val="Compact"/>
              <w:jc w:val="right"/>
            </w:pPr>
            <w:r>
              <w:t xml:space="preserve">146</w:t>
            </w:r>
          </w:p>
        </w:tc>
        <w:tc>
          <w:tcPr/>
          <w:p>
            <w:pPr>
              <w:pStyle w:val="Compact"/>
              <w:jc w:val="right"/>
            </w:pPr>
            <w:r>
              <w:t xml:space="preserve">68,5 %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2.6 : Répartition des PVVIH selon leur appréciation de leur état de santé actuel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Bonne (excellente, très bonne ou bonne)</w:t>
            </w:r>
          </w:p>
        </w:tc>
        <w:tc>
          <w:tcPr/>
          <w:p>
            <w:pPr>
              <w:pStyle w:val="Compact"/>
              <w:jc w:val="right"/>
            </w:pPr>
            <w:r>
              <w:t xml:space="preserve">132</w:t>
            </w:r>
          </w:p>
        </w:tc>
        <w:tc>
          <w:tcPr/>
          <w:p>
            <w:pPr>
              <w:pStyle w:val="Compact"/>
              <w:jc w:val="right"/>
            </w:pPr>
            <w:r>
              <w:t xml:space="preserve">62,0 %</w:t>
            </w:r>
          </w:p>
        </w:tc>
      </w:tr>
      <w:tr>
        <w:tc>
          <w:tcPr/>
          <w:p>
            <w:pPr>
              <w:pStyle w:val="Compact"/>
              <w:jc w:val="left"/>
            </w:pPr>
            <w:r>
              <w:t xml:space="preserve">Correcte</w:t>
            </w:r>
          </w:p>
        </w:tc>
        <w:tc>
          <w:tcPr/>
          <w:p>
            <w:pPr>
              <w:pStyle w:val="Compact"/>
              <w:jc w:val="right"/>
            </w:pPr>
            <w:r>
              <w:t xml:space="preserve">70</w:t>
            </w:r>
          </w:p>
        </w:tc>
        <w:tc>
          <w:tcPr/>
          <w:p>
            <w:pPr>
              <w:pStyle w:val="Compact"/>
              <w:jc w:val="right"/>
            </w:pPr>
            <w:r>
              <w:t xml:space="preserve">32,9 %</w:t>
            </w:r>
          </w:p>
        </w:tc>
      </w:tr>
      <w:tr>
        <w:tc>
          <w:tcPr/>
          <w:p>
            <w:pPr>
              <w:pStyle w:val="Compact"/>
              <w:jc w:val="left"/>
            </w:pPr>
            <w:r>
              <w:t xml:space="preserve">Mauvaise</w:t>
            </w:r>
          </w:p>
        </w:tc>
        <w:tc>
          <w:tcPr/>
          <w:p>
            <w:pPr>
              <w:pStyle w:val="Compact"/>
              <w:jc w:val="right"/>
            </w:pPr>
            <w:r>
              <w:t xml:space="preserve">11</w:t>
            </w:r>
          </w:p>
        </w:tc>
        <w:tc>
          <w:tcPr/>
          <w:p>
            <w:pPr>
              <w:pStyle w:val="Compact"/>
              <w:jc w:val="right"/>
            </w:pPr>
            <w:r>
              <w:t xml:space="preserve">5,2 %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2.7 : Répartition des PVVIH ayant reçu un diagnostic de tuberculose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203</w:t>
            </w:r>
          </w:p>
        </w:tc>
        <w:tc>
          <w:tcPr/>
          <w:p>
            <w:pPr>
              <w:pStyle w:val="Compact"/>
              <w:jc w:val="right"/>
            </w:pPr>
            <w:r>
              <w:t xml:space="preserve">95,3 %</w:t>
            </w:r>
          </w:p>
        </w:tc>
      </w:tr>
      <w:tr>
        <w:tc>
          <w:tcPr/>
          <w:p>
            <w:pPr>
              <w:pStyle w:val="Compact"/>
              <w:jc w:val="left"/>
            </w:pPr>
            <w:r>
              <w:t xml:space="preserve">Oui</w:t>
            </w:r>
          </w:p>
        </w:tc>
        <w:tc>
          <w:tcPr/>
          <w:p>
            <w:pPr>
              <w:pStyle w:val="Compact"/>
              <w:jc w:val="right"/>
            </w:pPr>
            <w:r>
              <w:t xml:space="preserve">10</w:t>
            </w:r>
          </w:p>
        </w:tc>
        <w:tc>
          <w:tcPr/>
          <w:p>
            <w:pPr>
              <w:pStyle w:val="Compact"/>
              <w:jc w:val="right"/>
            </w:pPr>
            <w:r>
              <w:t xml:space="preserve">4,7 %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2.8 : Répartition des PVVIH ayant reçu un diagnostic d’hépatite virale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212</w:t>
            </w:r>
          </w:p>
        </w:tc>
        <w:tc>
          <w:tcPr/>
          <w:p>
            <w:pPr>
              <w:pStyle w:val="Compact"/>
              <w:jc w:val="right"/>
            </w:pPr>
            <w:r>
              <w:t xml:space="preserve">99,5 %</w:t>
            </w:r>
          </w:p>
        </w:tc>
      </w:tr>
      <w:tr>
        <w:tc>
          <w:tcPr/>
          <w:p>
            <w:pPr>
              <w:pStyle w:val="Compact"/>
              <w:jc w:val="left"/>
            </w:pPr>
            <w:r>
              <w:t xml:space="preserve">Oui</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2.9 : Répartition des PVVIH ayant reçu un diagnostic d’infections sexuellement transmissibles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197</w:t>
            </w:r>
          </w:p>
        </w:tc>
        <w:tc>
          <w:tcPr/>
          <w:p>
            <w:pPr>
              <w:pStyle w:val="Compact"/>
              <w:jc w:val="right"/>
            </w:pPr>
            <w:r>
              <w:t xml:space="preserve">92,5 %</w:t>
            </w:r>
          </w:p>
        </w:tc>
      </w:tr>
      <w:tr>
        <w:tc>
          <w:tcPr/>
          <w:p>
            <w:pPr>
              <w:pStyle w:val="Compact"/>
              <w:jc w:val="left"/>
            </w:pPr>
            <w:r>
              <w:t xml:space="preserve">Oui</w:t>
            </w:r>
          </w:p>
        </w:tc>
        <w:tc>
          <w:tcPr/>
          <w:p>
            <w:pPr>
              <w:pStyle w:val="Compact"/>
              <w:jc w:val="right"/>
            </w:pPr>
            <w:r>
              <w:t xml:space="preserve">14</w:t>
            </w:r>
          </w:p>
        </w:tc>
        <w:tc>
          <w:tcPr/>
          <w:p>
            <w:pPr>
              <w:pStyle w:val="Compact"/>
              <w:jc w:val="right"/>
            </w:pPr>
            <w:r>
              <w:t xml:space="preserve">6,6 %</w:t>
            </w:r>
          </w:p>
        </w:tc>
      </w:tr>
      <w:tr>
        <w:tc>
          <w:tcPr/>
          <w:p>
            <w:pPr>
              <w:pStyle w:val="Compact"/>
              <w:jc w:val="left"/>
            </w:pPr>
            <w:r>
              <w:t xml:space="preserve">Pas de reponse</w:t>
            </w:r>
          </w:p>
        </w:tc>
        <w:tc>
          <w:tcPr/>
          <w:p>
            <w:pPr>
              <w:pStyle w:val="Compact"/>
              <w:jc w:val="right"/>
            </w:pPr>
            <w:r>
              <w:t xml:space="preserve">2</w:t>
            </w:r>
          </w:p>
        </w:tc>
        <w:tc>
          <w:tcPr/>
          <w:p>
            <w:pPr>
              <w:pStyle w:val="Compact"/>
              <w:jc w:val="right"/>
            </w:pPr>
            <w:r>
              <w:t xml:space="preserve">0,9 %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2.10 : Répartition des PVVIH ayant reçu un diagnostic de trouble de santé mentale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208</w:t>
            </w:r>
          </w:p>
        </w:tc>
        <w:tc>
          <w:tcPr/>
          <w:p>
            <w:pPr>
              <w:pStyle w:val="Compact"/>
              <w:jc w:val="right"/>
            </w:pPr>
            <w:r>
              <w:t xml:space="preserve">97,7 %</w:t>
            </w:r>
          </w:p>
        </w:tc>
      </w:tr>
      <w:tr>
        <w:tc>
          <w:tcPr/>
          <w:p>
            <w:pPr>
              <w:pStyle w:val="Compact"/>
              <w:jc w:val="left"/>
            </w:pPr>
            <w:r>
              <w:t xml:space="preserve">Oui</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2.11 : Répartition des PVVIH ayant reçu un diagnostic de maladie(s) non transmissible(s)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181</w:t>
            </w:r>
          </w:p>
        </w:tc>
        <w:tc>
          <w:tcPr/>
          <w:p>
            <w:pPr>
              <w:pStyle w:val="Compact"/>
              <w:jc w:val="right"/>
            </w:pPr>
            <w:r>
              <w:t xml:space="preserve">85,0 %</w:t>
            </w:r>
          </w:p>
        </w:tc>
      </w:tr>
      <w:tr>
        <w:tc>
          <w:tcPr/>
          <w:p>
            <w:pPr>
              <w:pStyle w:val="Compact"/>
              <w:jc w:val="left"/>
            </w:pPr>
            <w:r>
              <w:t xml:space="preserve">Oui</w:t>
            </w:r>
          </w:p>
        </w:tc>
        <w:tc>
          <w:tcPr/>
          <w:p>
            <w:pPr>
              <w:pStyle w:val="Compact"/>
              <w:jc w:val="right"/>
            </w:pPr>
            <w:r>
              <w:t xml:space="preserve">22</w:t>
            </w:r>
          </w:p>
        </w:tc>
        <w:tc>
          <w:tcPr/>
          <w:p>
            <w:pPr>
              <w:pStyle w:val="Compact"/>
              <w:jc w:val="right"/>
            </w:pPr>
            <w:r>
              <w:t xml:space="preserve">10,3 %</w:t>
            </w:r>
          </w:p>
        </w:tc>
      </w:tr>
      <w:tr>
        <w:tc>
          <w:tcPr/>
          <w:p>
            <w:pPr>
              <w:pStyle w:val="Compact"/>
              <w:jc w:val="left"/>
            </w:pPr>
            <w:r>
              <w:t xml:space="preserve">Pas de reponse</w:t>
            </w:r>
          </w:p>
        </w:tc>
        <w:tc>
          <w:tcPr/>
          <w:p>
            <w:pPr>
              <w:pStyle w:val="Compact"/>
              <w:jc w:val="right"/>
            </w:pPr>
            <w:r>
              <w:t xml:space="preserve">10</w:t>
            </w:r>
          </w:p>
        </w:tc>
        <w:tc>
          <w:tcPr/>
          <w:p>
            <w:pPr>
              <w:pStyle w:val="Compact"/>
              <w:jc w:val="right"/>
            </w:pPr>
            <w:r>
              <w:t xml:space="preserve">4,7 %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2.12 : Répartition des PVVIH ayant reçu un diagnostic d’infections opportunistes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194</w:t>
            </w:r>
          </w:p>
        </w:tc>
        <w:tc>
          <w:tcPr/>
          <w:p>
            <w:pPr>
              <w:pStyle w:val="Compact"/>
              <w:jc w:val="right"/>
            </w:pPr>
            <w:r>
              <w:t xml:space="preserve">91,1 %</w:t>
            </w:r>
          </w:p>
        </w:tc>
      </w:tr>
      <w:tr>
        <w:tc>
          <w:tcPr/>
          <w:p>
            <w:pPr>
              <w:pStyle w:val="Compact"/>
              <w:jc w:val="left"/>
            </w:pPr>
            <w:r>
              <w:t xml:space="preserve">Oui</w:t>
            </w:r>
          </w:p>
        </w:tc>
        <w:tc>
          <w:tcPr/>
          <w:p>
            <w:pPr>
              <w:pStyle w:val="Compact"/>
              <w:jc w:val="right"/>
            </w:pPr>
            <w:r>
              <w:t xml:space="preserve">16</w:t>
            </w:r>
          </w:p>
        </w:tc>
        <w:tc>
          <w:tcPr/>
          <w:p>
            <w:pPr>
              <w:pStyle w:val="Compact"/>
              <w:jc w:val="right"/>
            </w:pPr>
            <w:r>
              <w:t xml:space="preserve">7,5 %</w:t>
            </w:r>
          </w:p>
        </w:tc>
      </w:tr>
      <w:tr>
        <w:tc>
          <w:tcPr/>
          <w:p>
            <w:pPr>
              <w:pStyle w:val="Compact"/>
              <w:jc w:val="left"/>
            </w:pPr>
            <w:r>
              <w:t xml:space="preserve">Pas de reponse</w:t>
            </w:r>
          </w:p>
        </w:tc>
        <w:tc>
          <w:tcPr/>
          <w:p>
            <w:pPr>
              <w:pStyle w:val="Compact"/>
              <w:jc w:val="right"/>
            </w:pPr>
            <w:r>
              <w:t xml:space="preserve">3</w:t>
            </w:r>
          </w:p>
        </w:tc>
        <w:tc>
          <w:tcPr/>
          <w:p>
            <w:pPr>
              <w:pStyle w:val="Compact"/>
              <w:jc w:val="right"/>
            </w:pPr>
            <w:r>
              <w:t xml:space="preserve">1,4 %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2.13 : Répartition des PVVIH ayant reçu un diagnostic de syndromes de dépendance à l’alcool ou aux drogues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204</w:t>
            </w:r>
          </w:p>
        </w:tc>
        <w:tc>
          <w:tcPr/>
          <w:p>
            <w:pPr>
              <w:pStyle w:val="Compact"/>
              <w:jc w:val="right"/>
            </w:pPr>
            <w:r>
              <w:t xml:space="preserve">95,8 %</w:t>
            </w:r>
          </w:p>
        </w:tc>
      </w:tr>
      <w:tr>
        <w:tc>
          <w:tcPr/>
          <w:p>
            <w:pPr>
              <w:pStyle w:val="Compact"/>
              <w:jc w:val="left"/>
            </w:pPr>
            <w:r>
              <w:t xml:space="preserve">Oui</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Pas de reponse</w:t>
            </w:r>
          </w:p>
        </w:tc>
        <w:tc>
          <w:tcPr/>
          <w:p>
            <w:pPr>
              <w:pStyle w:val="Compact"/>
              <w:jc w:val="right"/>
            </w:pPr>
            <w:r>
              <w:t xml:space="preserve">4</w:t>
            </w:r>
          </w:p>
        </w:tc>
        <w:tc>
          <w:tcPr/>
          <w:p>
            <w:pPr>
              <w:pStyle w:val="Compact"/>
              <w:jc w:val="right"/>
            </w:pPr>
            <w:r>
              <w:t xml:space="preserve">1,9 %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2.14 : Répartition des PVVIH dont les affections diagnostiquées ont été prises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149</w:t>
            </w:r>
          </w:p>
        </w:tc>
        <w:tc>
          <w:tcPr/>
          <w:p>
            <w:pPr>
              <w:pStyle w:val="Compact"/>
              <w:jc w:val="right"/>
            </w:pPr>
            <w:r>
              <w:t xml:space="preserve">70,0 %</w:t>
            </w:r>
          </w:p>
        </w:tc>
      </w:tr>
      <w:tr>
        <w:tc>
          <w:tcPr/>
          <w:p>
            <w:pPr>
              <w:pStyle w:val="Compact"/>
              <w:jc w:val="left"/>
            </w:pPr>
            <w:r>
              <w:t xml:space="preserve">Oui</w:t>
            </w:r>
          </w:p>
        </w:tc>
        <w:tc>
          <w:tcPr/>
          <w:p>
            <w:pPr>
              <w:pStyle w:val="Compact"/>
              <w:jc w:val="right"/>
            </w:pPr>
            <w:r>
              <w:t xml:space="preserve">64</w:t>
            </w:r>
          </w:p>
        </w:tc>
        <w:tc>
          <w:tcPr/>
          <w:p>
            <w:pPr>
              <w:pStyle w:val="Compact"/>
              <w:jc w:val="right"/>
            </w:pPr>
            <w:r>
              <w:t xml:space="preserve">30,0 %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2.15 : Répartition des PVVIH ayant cherché à obtenir des soins de santé pour des besoins non liés au VIH (p. ex., paludisme, grippe, soins dentaires, vaccinations, blessures, etc.)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56</w:t>
            </w:r>
          </w:p>
        </w:tc>
        <w:tc>
          <w:tcPr/>
          <w:p>
            <w:pPr>
              <w:pStyle w:val="Compact"/>
              <w:jc w:val="right"/>
            </w:pPr>
            <w:r>
              <w:t xml:space="preserve">26,3 %</w:t>
            </w:r>
          </w:p>
        </w:tc>
      </w:tr>
      <w:tr>
        <w:tc>
          <w:tcPr/>
          <w:p>
            <w:pPr>
              <w:pStyle w:val="Compact"/>
              <w:jc w:val="left"/>
            </w:pPr>
            <w:r>
              <w:t xml:space="preserve">Oui</w:t>
            </w:r>
          </w:p>
        </w:tc>
        <w:tc>
          <w:tcPr/>
          <w:p>
            <w:pPr>
              <w:pStyle w:val="Compact"/>
              <w:jc w:val="right"/>
            </w:pPr>
            <w:r>
              <w:t xml:space="preserve">157</w:t>
            </w:r>
          </w:p>
        </w:tc>
        <w:tc>
          <w:tcPr/>
          <w:p>
            <w:pPr>
              <w:pStyle w:val="Compact"/>
              <w:jc w:val="right"/>
            </w:pPr>
            <w:r>
              <w:t xml:space="preserve">73,7 %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2.16 : Répartition des PVVIH selon l’endroit habituel de leurs soins et traitements pour le VIH</w:t>
      </w:r>
    </w:p>
    <w:tbl>
      <w:tblPr>
        <w:tblStyle w:val="Table"/>
        <w:tblW w:type="pct" w:w="5000"/>
        <w:tblLayout w:type="fixed"/>
        <w:tblLook w:firstRow="1" w:lastRow="0" w:firstColumn="0" w:lastColumn="0" w:noHBand="0" w:noVBand="0" w:val="0020"/>
      </w:tblPr>
      <w:tblGrid>
        <w:gridCol w:w="5610"/>
        <w:gridCol w:w="990"/>
        <w:gridCol w:w="132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Endroits multiples</w:t>
            </w:r>
          </w:p>
        </w:tc>
        <w:tc>
          <w:tcPr/>
          <w:p>
            <w:pPr>
              <w:pStyle w:val="Compact"/>
              <w:jc w:val="right"/>
            </w:pPr>
            <w:r>
              <w:t xml:space="preserve">17</w:t>
            </w:r>
          </w:p>
        </w:tc>
        <w:tc>
          <w:tcPr/>
          <w:p>
            <w:pPr>
              <w:pStyle w:val="Compact"/>
              <w:jc w:val="right"/>
            </w:pPr>
            <w:r>
              <w:t xml:space="preserve">8,0 %</w:t>
            </w:r>
          </w:p>
        </w:tc>
      </w:tr>
      <w:tr>
        <w:tc>
          <w:tcPr/>
          <w:p>
            <w:pPr>
              <w:pStyle w:val="Compact"/>
              <w:jc w:val="left"/>
            </w:pPr>
            <w:r>
              <w:t xml:space="preserve">Structure sanitaire des Armées</w:t>
            </w:r>
          </w:p>
        </w:tc>
        <w:tc>
          <w:tcPr/>
          <w:p>
            <w:pPr>
              <w:pStyle w:val="Compact"/>
              <w:jc w:val="right"/>
            </w:pPr>
            <w:r>
              <w:t xml:space="preserve">193</w:t>
            </w:r>
          </w:p>
        </w:tc>
        <w:tc>
          <w:tcPr/>
          <w:p>
            <w:pPr>
              <w:pStyle w:val="Compact"/>
              <w:jc w:val="right"/>
            </w:pPr>
            <w:r>
              <w:t xml:space="preserve">90,6 %</w:t>
            </w:r>
          </w:p>
        </w:tc>
      </w:tr>
      <w:tr>
        <w:tc>
          <w:tcPr/>
          <w:p>
            <w:pPr>
              <w:pStyle w:val="Compact"/>
              <w:jc w:val="left"/>
            </w:pPr>
            <w:r>
              <w:t xml:space="preserve">Etablissements de santé publique</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Clinique ou établissement non gouvernemental (ONG)</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Start w:id="22" w:name="accès-aux-services"/>
    <w:p>
      <w:pPr>
        <w:pStyle w:val="Heading2"/>
      </w:pPr>
      <w:r>
        <w:rPr>
          <w:rStyle w:val="SectionNumber"/>
        </w:rPr>
        <w:t xml:space="preserve">3.1</w:t>
      </w:r>
      <w:r>
        <w:tab/>
      </w:r>
      <w:r>
        <w:t xml:space="preserve">Accès aux services</w:t>
      </w:r>
    </w:p>
    <w:p>
      <w:pPr>
        <w:pStyle w:val="FirstParagraph"/>
      </w:pPr>
      <w:r>
        <w:rPr>
          <w:b/>
          <w:bCs/>
        </w:rPr>
        <w:t xml:space="preserve">Tableau 2.17 : Répartition des PVVIH pouvant accéder aux services de traitement du VIH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11</w:t>
            </w:r>
          </w:p>
        </w:tc>
        <w:tc>
          <w:tcPr/>
          <w:p>
            <w:pPr>
              <w:pStyle w:val="Compact"/>
              <w:jc w:val="right"/>
            </w:pPr>
            <w:r>
              <w:t xml:space="preserve">5,2 %</w:t>
            </w:r>
          </w:p>
        </w:tc>
      </w:tr>
      <w:tr>
        <w:tc>
          <w:tcPr/>
          <w:p>
            <w:pPr>
              <w:pStyle w:val="Compact"/>
              <w:jc w:val="left"/>
            </w:pPr>
            <w:r>
              <w:t xml:space="preserve">Oui</w:t>
            </w:r>
          </w:p>
        </w:tc>
        <w:tc>
          <w:tcPr/>
          <w:p>
            <w:pPr>
              <w:pStyle w:val="Compact"/>
              <w:jc w:val="right"/>
            </w:pPr>
            <w:r>
              <w:t xml:space="preserve">202</w:t>
            </w:r>
          </w:p>
        </w:tc>
        <w:tc>
          <w:tcPr/>
          <w:p>
            <w:pPr>
              <w:pStyle w:val="Compact"/>
              <w:jc w:val="right"/>
            </w:pPr>
            <w:r>
              <w:t xml:space="preserve">94,8 %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2.18 : Répartition des PVVIH pouvant accéder aux services d’informations sur le VIH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7</w:t>
            </w:r>
          </w:p>
        </w:tc>
        <w:tc>
          <w:tcPr/>
          <w:p>
            <w:pPr>
              <w:pStyle w:val="Compact"/>
              <w:jc w:val="right"/>
            </w:pPr>
            <w:r>
              <w:t xml:space="preserve">3,3 %</w:t>
            </w:r>
          </w:p>
        </w:tc>
      </w:tr>
      <w:tr>
        <w:tc>
          <w:tcPr/>
          <w:p>
            <w:pPr>
              <w:pStyle w:val="Compact"/>
              <w:jc w:val="left"/>
            </w:pPr>
            <w:r>
              <w:t xml:space="preserve">Oui</w:t>
            </w:r>
          </w:p>
        </w:tc>
        <w:tc>
          <w:tcPr/>
          <w:p>
            <w:pPr>
              <w:pStyle w:val="Compact"/>
              <w:jc w:val="right"/>
            </w:pPr>
            <w:r>
              <w:t xml:space="preserve">206</w:t>
            </w:r>
          </w:p>
        </w:tc>
        <w:tc>
          <w:tcPr/>
          <w:p>
            <w:pPr>
              <w:pStyle w:val="Compact"/>
              <w:jc w:val="right"/>
            </w:pPr>
            <w:r>
              <w:t xml:space="preserve">96,7 %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2.19 : Répartition des PVVIH pouvant accéder aux services de soins et de dépistage du VIH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14</w:t>
            </w:r>
          </w:p>
        </w:tc>
        <w:tc>
          <w:tcPr/>
          <w:p>
            <w:pPr>
              <w:pStyle w:val="Compact"/>
              <w:jc w:val="right"/>
            </w:pPr>
            <w:r>
              <w:t xml:space="preserve">6,6 %</w:t>
            </w:r>
          </w:p>
        </w:tc>
      </w:tr>
      <w:tr>
        <w:tc>
          <w:tcPr/>
          <w:p>
            <w:pPr>
              <w:pStyle w:val="Compact"/>
              <w:jc w:val="left"/>
            </w:pPr>
            <w:r>
              <w:t xml:space="preserve">Oui</w:t>
            </w:r>
          </w:p>
        </w:tc>
        <w:tc>
          <w:tcPr/>
          <w:p>
            <w:pPr>
              <w:pStyle w:val="Compact"/>
              <w:jc w:val="right"/>
            </w:pPr>
            <w:r>
              <w:t xml:space="preserve">199</w:t>
            </w:r>
          </w:p>
        </w:tc>
        <w:tc>
          <w:tcPr/>
          <w:p>
            <w:pPr>
              <w:pStyle w:val="Compact"/>
              <w:jc w:val="right"/>
            </w:pPr>
            <w:r>
              <w:t xml:space="preserve">93,4 %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2.20 : Répartition des PVVIH pouvant accéder aux services de Soutien par les pairs (groupes)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94</w:t>
            </w:r>
          </w:p>
        </w:tc>
        <w:tc>
          <w:tcPr/>
          <w:p>
            <w:pPr>
              <w:pStyle w:val="Compact"/>
              <w:jc w:val="right"/>
            </w:pPr>
            <w:r>
              <w:t xml:space="preserve">44,1 %</w:t>
            </w:r>
          </w:p>
        </w:tc>
      </w:tr>
      <w:tr>
        <w:tc>
          <w:tcPr/>
          <w:p>
            <w:pPr>
              <w:pStyle w:val="Compact"/>
              <w:jc w:val="left"/>
            </w:pPr>
            <w:r>
              <w:t xml:space="preserve">Oui</w:t>
            </w:r>
          </w:p>
        </w:tc>
        <w:tc>
          <w:tcPr/>
          <w:p>
            <w:pPr>
              <w:pStyle w:val="Compact"/>
              <w:jc w:val="right"/>
            </w:pPr>
            <w:r>
              <w:t xml:space="preserve">119</w:t>
            </w:r>
          </w:p>
        </w:tc>
        <w:tc>
          <w:tcPr/>
          <w:p>
            <w:pPr>
              <w:pStyle w:val="Compact"/>
              <w:jc w:val="right"/>
            </w:pPr>
            <w:r>
              <w:t xml:space="preserve">55,9 %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2.21 : Répartition des PVVIH pouvant accéder aux services et produits de prévention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w:t>
            </w:r>
          </w:p>
        </w:tc>
        <w:tc>
          <w:tcPr/>
          <w:p>
            <w:pPr>
              <w:pStyle w:val="Compact"/>
              <w:jc w:val="right"/>
            </w:pPr>
            <w:r>
              <w:t xml:space="preserve">9,9 %</w:t>
            </w:r>
          </w:p>
        </w:tc>
      </w:tr>
      <w:tr>
        <w:tc>
          <w:tcPr/>
          <w:p>
            <w:pPr>
              <w:pStyle w:val="Compact"/>
              <w:jc w:val="left"/>
            </w:pPr>
            <w:r>
              <w:t xml:space="preserve">Oui</w:t>
            </w:r>
          </w:p>
        </w:tc>
        <w:tc>
          <w:tcPr/>
          <w:p>
            <w:pPr>
              <w:pStyle w:val="Compact"/>
              <w:jc w:val="right"/>
            </w:pPr>
            <w:r>
              <w:t xml:space="preserve">192</w:t>
            </w:r>
          </w:p>
        </w:tc>
        <w:tc>
          <w:tcPr/>
          <w:p>
            <w:pPr>
              <w:pStyle w:val="Compact"/>
              <w:jc w:val="right"/>
            </w:pPr>
            <w:r>
              <w:t xml:space="preserve">90,1 %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2.22 : Répartition des PVVIH pouvant accéder aux services de conseil en matière d’adhésion au traitement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Oui</w:t>
            </w:r>
          </w:p>
        </w:tc>
        <w:tc>
          <w:tcPr/>
          <w:p>
            <w:pPr>
              <w:pStyle w:val="Compact"/>
              <w:jc w:val="right"/>
            </w:pPr>
            <w:r>
              <w:t xml:space="preserve">207</w:t>
            </w:r>
          </w:p>
        </w:tc>
        <w:tc>
          <w:tcPr/>
          <w:p>
            <w:pPr>
              <w:pStyle w:val="Compact"/>
              <w:jc w:val="right"/>
            </w:pPr>
            <w:r>
              <w:t xml:space="preserve">97,2 %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2.23 : Répartition des PVVIH pouvant accéder aux services de gestion des dossiers sur leur site de prise en charge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139</w:t>
            </w:r>
          </w:p>
        </w:tc>
        <w:tc>
          <w:tcPr/>
          <w:p>
            <w:pPr>
              <w:pStyle w:val="Compact"/>
              <w:jc w:val="right"/>
            </w:pPr>
            <w:r>
              <w:t xml:space="preserve">65,3 %</w:t>
            </w:r>
          </w:p>
        </w:tc>
      </w:tr>
      <w:tr>
        <w:tc>
          <w:tcPr/>
          <w:p>
            <w:pPr>
              <w:pStyle w:val="Compact"/>
              <w:jc w:val="left"/>
            </w:pPr>
            <w:r>
              <w:t xml:space="preserve">Oui</w:t>
            </w:r>
          </w:p>
        </w:tc>
        <w:tc>
          <w:tcPr/>
          <w:p>
            <w:pPr>
              <w:pStyle w:val="Compact"/>
              <w:jc w:val="right"/>
            </w:pPr>
            <w:r>
              <w:t xml:space="preserve">74</w:t>
            </w:r>
          </w:p>
        </w:tc>
        <w:tc>
          <w:tcPr/>
          <w:p>
            <w:pPr>
              <w:pStyle w:val="Compact"/>
              <w:jc w:val="right"/>
            </w:pPr>
            <w:r>
              <w:t xml:space="preserve">34,7 %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2"/>
    <w:bookmarkEnd w:id="23"/>
    <w:bookmarkStart w:id="30" w:name="Xb4266b1f9cda53fa80f87709d4b9faae47e0e3e"/>
    <w:p>
      <w:pPr>
        <w:pStyle w:val="Heading1"/>
      </w:pPr>
      <w:r>
        <w:rPr>
          <w:rStyle w:val="SectionNumber"/>
        </w:rPr>
        <w:t xml:space="preserve">4</w:t>
      </w:r>
      <w:r>
        <w:tab/>
      </w:r>
      <w:r>
        <w:t xml:space="preserve">Section 3 : Expérience de stigmatisation et de discrimination</w:t>
      </w:r>
    </w:p>
    <w:bookmarkStart w:id="24" w:name="exclusions"/>
    <w:p>
      <w:pPr>
        <w:pStyle w:val="Heading2"/>
      </w:pPr>
      <w:r>
        <w:rPr>
          <w:rStyle w:val="SectionNumber"/>
        </w:rPr>
        <w:t xml:space="preserve">4.1</w:t>
      </w:r>
      <w:r>
        <w:tab/>
      </w:r>
      <w:r>
        <w:t xml:space="preserve">Exclusions</w:t>
      </w:r>
    </w:p>
    <w:p>
      <w:pPr>
        <w:pStyle w:val="FirstParagraph"/>
      </w:pPr>
      <w:r>
        <w:rPr>
          <w:b/>
          <w:bCs/>
        </w:rPr>
        <w:t xml:space="preserve">Tableau 3.1 : Répartition des PVVIH ayant déjà été exclus des activités ou rencontres sociales (mariages, funérailles, fêtes, clubs)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176</w:t>
            </w:r>
          </w:p>
        </w:tc>
        <w:tc>
          <w:tcPr/>
          <w:p>
            <w:pPr>
              <w:pStyle w:val="Compact"/>
              <w:jc w:val="right"/>
            </w:pPr>
            <w:r>
              <w:t xml:space="preserve">82,6 %</w:t>
            </w:r>
          </w:p>
        </w:tc>
      </w:tr>
      <w:tr>
        <w:tc>
          <w:tcPr/>
          <w:p>
            <w:pPr>
              <w:pStyle w:val="Compact"/>
              <w:jc w:val="left"/>
            </w:pPr>
            <w:r>
              <w:t xml:space="preserve">Non applicable</w:t>
            </w:r>
          </w:p>
        </w:tc>
        <w:tc>
          <w:tcPr/>
          <w:p>
            <w:pPr>
              <w:pStyle w:val="Compact"/>
              <w:jc w:val="right"/>
            </w:pPr>
            <w:r>
              <w:t xml:space="preserve">11</w:t>
            </w:r>
          </w:p>
        </w:tc>
        <w:tc>
          <w:tcPr/>
          <w:p>
            <w:pPr>
              <w:pStyle w:val="Compact"/>
              <w:jc w:val="right"/>
            </w:pPr>
            <w:r>
              <w:t xml:space="preserve">5,2 %</w:t>
            </w:r>
          </w:p>
        </w:tc>
      </w:tr>
      <w:tr>
        <w:tc>
          <w:tcPr/>
          <w:p>
            <w:pPr>
              <w:pStyle w:val="Compact"/>
              <w:jc w:val="left"/>
            </w:pPr>
            <w:r>
              <w:t xml:space="preserve">Oui, dans les 12 derniers mois</w:t>
            </w:r>
          </w:p>
        </w:tc>
        <w:tc>
          <w:tcPr/>
          <w:p>
            <w:pPr>
              <w:pStyle w:val="Compact"/>
              <w:jc w:val="right"/>
            </w:pPr>
            <w:r>
              <w:t xml:space="preserve">23</w:t>
            </w:r>
          </w:p>
        </w:tc>
        <w:tc>
          <w:tcPr/>
          <w:p>
            <w:pPr>
              <w:pStyle w:val="Compact"/>
              <w:jc w:val="right"/>
            </w:pPr>
            <w:r>
              <w:t xml:space="preserve">10,8 %</w:t>
            </w:r>
          </w:p>
        </w:tc>
      </w:tr>
      <w:tr>
        <w:tc>
          <w:tcPr/>
          <w:p>
            <w:pPr>
              <w:pStyle w:val="Compact"/>
              <w:jc w:val="left"/>
            </w:pPr>
            <w:r>
              <w:t xml:space="preserve">Oui, mais pas dans les 12 derniers mois</w:t>
            </w:r>
          </w:p>
        </w:tc>
        <w:tc>
          <w:tcPr/>
          <w:p>
            <w:pPr>
              <w:pStyle w:val="Compact"/>
              <w:jc w:val="right"/>
            </w:pPr>
            <w:r>
              <w:t xml:space="preserve">3</w:t>
            </w:r>
          </w:p>
        </w:tc>
        <w:tc>
          <w:tcPr/>
          <w:p>
            <w:pPr>
              <w:pStyle w:val="Compact"/>
              <w:jc w:val="right"/>
            </w:pPr>
            <w:r>
              <w:t xml:space="preserve">1,4 %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 : Répartition des PVVIH ayant déjà été exclus des activités religieuses ou de lieux de culte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172</w:t>
            </w:r>
          </w:p>
        </w:tc>
        <w:tc>
          <w:tcPr/>
          <w:p>
            <w:pPr>
              <w:pStyle w:val="Compact"/>
              <w:jc w:val="right"/>
            </w:pPr>
            <w:r>
              <w:t xml:space="preserve">80,8 %</w:t>
            </w:r>
          </w:p>
        </w:tc>
      </w:tr>
      <w:tr>
        <w:tc>
          <w:tcPr/>
          <w:p>
            <w:pPr>
              <w:pStyle w:val="Compact"/>
              <w:jc w:val="left"/>
            </w:pPr>
            <w:r>
              <w:t xml:space="preserve">Non applicable</w:t>
            </w:r>
          </w:p>
        </w:tc>
        <w:tc>
          <w:tcPr/>
          <w:p>
            <w:pPr>
              <w:pStyle w:val="Compact"/>
              <w:jc w:val="right"/>
            </w:pPr>
            <w:r>
              <w:t xml:space="preserve">15</w:t>
            </w:r>
          </w:p>
        </w:tc>
        <w:tc>
          <w:tcPr/>
          <w:p>
            <w:pPr>
              <w:pStyle w:val="Compact"/>
              <w:jc w:val="right"/>
            </w:pPr>
            <w:r>
              <w:t xml:space="preserve">7,0 %</w:t>
            </w:r>
          </w:p>
        </w:tc>
      </w:tr>
      <w:tr>
        <w:tc>
          <w:tcPr/>
          <w:p>
            <w:pPr>
              <w:pStyle w:val="Compact"/>
              <w:jc w:val="left"/>
            </w:pPr>
            <w:r>
              <w:t xml:space="preserve">Oui, dans les 12 derniers mois</w:t>
            </w:r>
          </w:p>
        </w:tc>
        <w:tc>
          <w:tcPr/>
          <w:p>
            <w:pPr>
              <w:pStyle w:val="Compact"/>
              <w:jc w:val="right"/>
            </w:pPr>
            <w:r>
              <w:t xml:space="preserve">25</w:t>
            </w:r>
          </w:p>
        </w:tc>
        <w:tc>
          <w:tcPr/>
          <w:p>
            <w:pPr>
              <w:pStyle w:val="Compact"/>
              <w:jc w:val="right"/>
            </w:pPr>
            <w:r>
              <w:t xml:space="preserve">11,7 %</w:t>
            </w:r>
          </w:p>
        </w:tc>
      </w:tr>
      <w:tr>
        <w:tc>
          <w:tcPr/>
          <w:p>
            <w:pPr>
              <w:pStyle w:val="Compact"/>
              <w:jc w:val="left"/>
            </w:pPr>
            <w:r>
              <w:t xml:space="preserve">Oui, mais pas dans les 12 derniers mois</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 : Répartition des PVVIH ayant déjà été exclus des activités familiales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179</w:t>
            </w:r>
          </w:p>
        </w:tc>
        <w:tc>
          <w:tcPr/>
          <w:p>
            <w:pPr>
              <w:pStyle w:val="Compact"/>
              <w:jc w:val="right"/>
            </w:pPr>
            <w:r>
              <w:t xml:space="preserve">84,0 %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Oui, dans les 12 derniers mois</w:t>
            </w:r>
          </w:p>
        </w:tc>
        <w:tc>
          <w:tcPr/>
          <w:p>
            <w:pPr>
              <w:pStyle w:val="Compact"/>
              <w:jc w:val="right"/>
            </w:pPr>
            <w:r>
              <w:t xml:space="preserve">25</w:t>
            </w:r>
          </w:p>
        </w:tc>
        <w:tc>
          <w:tcPr/>
          <w:p>
            <w:pPr>
              <w:pStyle w:val="Compact"/>
              <w:jc w:val="right"/>
            </w:pPr>
            <w:r>
              <w:t xml:space="preserve">11,7 %</w:t>
            </w:r>
          </w:p>
        </w:tc>
      </w:tr>
      <w:tr>
        <w:tc>
          <w:tcPr/>
          <w:p>
            <w:pPr>
              <w:pStyle w:val="Compact"/>
              <w:jc w:val="left"/>
            </w:pPr>
            <w:r>
              <w:t xml:space="preserve">Oui, mais pas dans les 12 derniers mois</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 : Répartition des PVVIH ayant déjà eu connaissance de remarques discriminatoires ou de commérages à son sujet de la part de membres de sa famille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194</w:t>
            </w:r>
          </w:p>
        </w:tc>
        <w:tc>
          <w:tcPr/>
          <w:p>
            <w:pPr>
              <w:pStyle w:val="Compact"/>
              <w:jc w:val="right"/>
            </w:pPr>
            <w:r>
              <w:t xml:space="preserve">91,1 %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Oui, dans les 12 derniers mois</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Oui, mais pas dans les 12 derniers mois</w:t>
            </w:r>
          </w:p>
        </w:tc>
        <w:tc>
          <w:tcPr/>
          <w:p>
            <w:pPr>
              <w:pStyle w:val="Compact"/>
              <w:jc w:val="right"/>
            </w:pPr>
            <w:r>
              <w:t xml:space="preserve">9</w:t>
            </w:r>
          </w:p>
        </w:tc>
        <w:tc>
          <w:tcPr/>
          <w:p>
            <w:pPr>
              <w:pStyle w:val="Compact"/>
              <w:jc w:val="right"/>
            </w:pPr>
            <w:r>
              <w:t xml:space="preserve">4,2 %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3.5 : Répartition des PVVIH ayant déjà eu connaissance de remarques discriminatoires ou de commérages à leur sujet de la part d’autres personnes (au-delà de leur famille)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197</w:t>
            </w:r>
          </w:p>
        </w:tc>
        <w:tc>
          <w:tcPr/>
          <w:p>
            <w:pPr>
              <w:pStyle w:val="Compact"/>
              <w:jc w:val="right"/>
            </w:pPr>
            <w:r>
              <w:t xml:space="preserve">92,5 %</w:t>
            </w:r>
          </w:p>
        </w:tc>
      </w:tr>
      <w:tr>
        <w:tc>
          <w:tcPr/>
          <w:p>
            <w:pPr>
              <w:pStyle w:val="Compact"/>
              <w:jc w:val="left"/>
            </w:pPr>
            <w:r>
              <w:t xml:space="preserve">Non applicable</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Oui, dans les 12 derniers mois</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Oui, mais pas dans les 12 derniers mois</w:t>
            </w:r>
          </w:p>
        </w:tc>
        <w:tc>
          <w:tcPr/>
          <w:p>
            <w:pPr>
              <w:pStyle w:val="Compact"/>
              <w:jc w:val="right"/>
            </w:pPr>
            <w:r>
              <w:t xml:space="preserve">7</w:t>
            </w:r>
          </w:p>
        </w:tc>
        <w:tc>
          <w:tcPr/>
          <w:p>
            <w:pPr>
              <w:pStyle w:val="Compact"/>
              <w:jc w:val="right"/>
            </w:pPr>
            <w:r>
              <w:t xml:space="preserve">3,3 %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3.6 : Répartition des PVVIH ayant déjà été harcelés verbalement (p. ex., cris, réprimandes ou autre forme de violence verbale)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191</w:t>
            </w:r>
          </w:p>
        </w:tc>
        <w:tc>
          <w:tcPr/>
          <w:p>
            <w:pPr>
              <w:pStyle w:val="Compact"/>
              <w:jc w:val="right"/>
            </w:pPr>
            <w:r>
              <w:t xml:space="preserve">89,7 %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Oui, dans les 12 derniers mois</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Oui, mais pas dans les 12 derniers mois</w:t>
            </w:r>
          </w:p>
        </w:tc>
        <w:tc>
          <w:tcPr/>
          <w:p>
            <w:pPr>
              <w:pStyle w:val="Compact"/>
              <w:jc w:val="right"/>
            </w:pPr>
            <w:r>
              <w:t xml:space="preserve">11</w:t>
            </w:r>
          </w:p>
        </w:tc>
        <w:tc>
          <w:tcPr/>
          <w:p>
            <w:pPr>
              <w:pStyle w:val="Compact"/>
              <w:jc w:val="right"/>
            </w:pPr>
            <w:r>
              <w:t xml:space="preserve">5,2 %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3.7 : Répartition des PVVIH ayant déjà été victime de chantage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194</w:t>
            </w:r>
          </w:p>
        </w:tc>
        <w:tc>
          <w:tcPr/>
          <w:p>
            <w:pPr>
              <w:pStyle w:val="Compact"/>
              <w:jc w:val="right"/>
            </w:pPr>
            <w:r>
              <w:t xml:space="preserve">91,1 %</w:t>
            </w:r>
          </w:p>
        </w:tc>
      </w:tr>
      <w:tr>
        <w:tc>
          <w:tcPr/>
          <w:p>
            <w:pPr>
              <w:pStyle w:val="Compact"/>
              <w:jc w:val="left"/>
            </w:pPr>
            <w:r>
              <w:t xml:space="preserve">Non applicable</w:t>
            </w:r>
          </w:p>
        </w:tc>
        <w:tc>
          <w:tcPr/>
          <w:p>
            <w:pPr>
              <w:pStyle w:val="Compact"/>
              <w:jc w:val="right"/>
            </w:pPr>
            <w:r>
              <w:t xml:space="preserve">10</w:t>
            </w:r>
          </w:p>
        </w:tc>
        <w:tc>
          <w:tcPr/>
          <w:p>
            <w:pPr>
              <w:pStyle w:val="Compact"/>
              <w:jc w:val="right"/>
            </w:pPr>
            <w:r>
              <w:t xml:space="preserve">4,7 %</w:t>
            </w:r>
          </w:p>
        </w:tc>
      </w:tr>
      <w:tr>
        <w:tc>
          <w:tcPr/>
          <w:p>
            <w:pPr>
              <w:pStyle w:val="Compact"/>
              <w:jc w:val="left"/>
            </w:pPr>
            <w:r>
              <w:t xml:space="preserve">Oui, dans les 12 derniers mois</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Oui, mais pas dans les 12 derniers mois</w:t>
            </w:r>
          </w:p>
        </w:tc>
        <w:tc>
          <w:tcPr/>
          <w:p>
            <w:pPr>
              <w:pStyle w:val="Compact"/>
              <w:jc w:val="right"/>
            </w:pPr>
            <w:r>
              <w:t xml:space="preserve">4</w:t>
            </w:r>
          </w:p>
        </w:tc>
        <w:tc>
          <w:tcPr/>
          <w:p>
            <w:pPr>
              <w:pStyle w:val="Compact"/>
              <w:jc w:val="right"/>
            </w:pPr>
            <w:r>
              <w:t xml:space="preserve">1,9 %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3.8 : Répartition des PVVIH ayant déjà été harcelés ou blessés physiquement (p. ex., bousculade, coups ou autre forme de violence corporelle)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201</w:t>
            </w:r>
          </w:p>
        </w:tc>
        <w:tc>
          <w:tcPr/>
          <w:p>
            <w:pPr>
              <w:pStyle w:val="Compact"/>
              <w:jc w:val="right"/>
            </w:pPr>
            <w:r>
              <w:t xml:space="preserve">94,4 %</w:t>
            </w:r>
          </w:p>
        </w:tc>
      </w:tr>
      <w:tr>
        <w:tc>
          <w:tcPr/>
          <w:p>
            <w:pPr>
              <w:pStyle w:val="Compact"/>
              <w:jc w:val="left"/>
            </w:pPr>
            <w:r>
              <w:t xml:space="preserve">Non applicable</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Oui, dans les 12 derniers mois</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Oui, mais pas dans les 12 derniers mois</w:t>
            </w:r>
          </w:p>
        </w:tc>
        <w:tc>
          <w:tcPr/>
          <w:p>
            <w:pPr>
              <w:pStyle w:val="Compact"/>
              <w:jc w:val="right"/>
            </w:pPr>
            <w:r>
              <w:t xml:space="preserve">4</w:t>
            </w:r>
          </w:p>
        </w:tc>
        <w:tc>
          <w:tcPr/>
          <w:p>
            <w:pPr>
              <w:pStyle w:val="Compact"/>
              <w:jc w:val="right"/>
            </w:pPr>
            <w:r>
              <w:t xml:space="preserve">1,9 %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3.9 : Répartition des PVVIH ayant déjà été victime de refus d’un emploi ou a déjà perdu une source de revenus ou un travail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198</w:t>
            </w:r>
          </w:p>
        </w:tc>
        <w:tc>
          <w:tcPr/>
          <w:p>
            <w:pPr>
              <w:pStyle w:val="Compact"/>
              <w:jc w:val="right"/>
            </w:pPr>
            <w:r>
              <w:t xml:space="preserve">93,0 %</w:t>
            </w:r>
          </w:p>
        </w:tc>
      </w:tr>
      <w:tr>
        <w:tc>
          <w:tcPr/>
          <w:p>
            <w:pPr>
              <w:pStyle w:val="Compact"/>
              <w:jc w:val="left"/>
            </w:pPr>
            <w:r>
              <w:t xml:space="preserve">Non applicable</w:t>
            </w:r>
          </w:p>
        </w:tc>
        <w:tc>
          <w:tcPr/>
          <w:p>
            <w:pPr>
              <w:pStyle w:val="Compact"/>
              <w:jc w:val="right"/>
            </w:pPr>
            <w:r>
              <w:t xml:space="preserve">14</w:t>
            </w:r>
          </w:p>
        </w:tc>
        <w:tc>
          <w:tcPr/>
          <w:p>
            <w:pPr>
              <w:pStyle w:val="Compact"/>
              <w:jc w:val="right"/>
            </w:pPr>
            <w:r>
              <w:t xml:space="preserve">6,6 %</w:t>
            </w:r>
          </w:p>
        </w:tc>
      </w:tr>
      <w:tr>
        <w:tc>
          <w:tcPr/>
          <w:p>
            <w:pPr>
              <w:pStyle w:val="Compact"/>
              <w:jc w:val="left"/>
            </w:pPr>
            <w:r>
              <w:t xml:space="preserve">Oui, dans les 12 derniers mois</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3.10 : Répartition des PVVIH ayant déjà été victimes de changement de description de leur poste ou de la nature de leur travail ou un refus de promotion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195</w:t>
            </w:r>
          </w:p>
        </w:tc>
        <w:tc>
          <w:tcPr/>
          <w:p>
            <w:pPr>
              <w:pStyle w:val="Compact"/>
              <w:jc w:val="right"/>
            </w:pPr>
            <w:r>
              <w:t xml:space="preserve">91,5 %</w:t>
            </w:r>
          </w:p>
        </w:tc>
      </w:tr>
      <w:tr>
        <w:tc>
          <w:tcPr/>
          <w:p>
            <w:pPr>
              <w:pStyle w:val="Compact"/>
              <w:jc w:val="left"/>
            </w:pPr>
            <w:r>
              <w:t xml:space="preserve">Non applicable</w:t>
            </w:r>
          </w:p>
        </w:tc>
        <w:tc>
          <w:tcPr/>
          <w:p>
            <w:pPr>
              <w:pStyle w:val="Compact"/>
              <w:jc w:val="right"/>
            </w:pPr>
            <w:r>
              <w:t xml:space="preserve">18</w:t>
            </w:r>
          </w:p>
        </w:tc>
        <w:tc>
          <w:tcPr/>
          <w:p>
            <w:pPr>
              <w:pStyle w:val="Compact"/>
              <w:jc w:val="right"/>
            </w:pPr>
            <w:r>
              <w:t xml:space="preserve">8,5 %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3.11 : Répartition des PVVIH ayant déjà été victimes de discrimination subie de la part du /de la conjoint(e), du/des partenaire(s) ou de ses enfants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187</w:t>
            </w:r>
          </w:p>
        </w:tc>
        <w:tc>
          <w:tcPr/>
          <w:p>
            <w:pPr>
              <w:pStyle w:val="Compact"/>
              <w:jc w:val="right"/>
            </w:pPr>
            <w:r>
              <w:t xml:space="preserve">87,8 %</w:t>
            </w:r>
          </w:p>
        </w:tc>
      </w:tr>
      <w:tr>
        <w:tc>
          <w:tcPr/>
          <w:p>
            <w:pPr>
              <w:pStyle w:val="Compact"/>
              <w:jc w:val="left"/>
            </w:pPr>
            <w:r>
              <w:t xml:space="preserve">Non applicable</w:t>
            </w:r>
          </w:p>
        </w:tc>
        <w:tc>
          <w:tcPr/>
          <w:p>
            <w:pPr>
              <w:pStyle w:val="Compact"/>
              <w:jc w:val="right"/>
            </w:pPr>
            <w:r>
              <w:t xml:space="preserve">12</w:t>
            </w:r>
          </w:p>
        </w:tc>
        <w:tc>
          <w:tcPr/>
          <w:p>
            <w:pPr>
              <w:pStyle w:val="Compact"/>
              <w:jc w:val="right"/>
            </w:pPr>
            <w:r>
              <w:t xml:space="preserve">5,6 %</w:t>
            </w:r>
          </w:p>
        </w:tc>
      </w:tr>
      <w:tr>
        <w:tc>
          <w:tcPr/>
          <w:p>
            <w:pPr>
              <w:pStyle w:val="Compact"/>
              <w:jc w:val="left"/>
            </w:pPr>
            <w:r>
              <w:t xml:space="preserve">Oui, dans les 12 derniers mois</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Oui, mais pas dans les 12 derniers mois</w:t>
            </w:r>
          </w:p>
        </w:tc>
        <w:tc>
          <w:tcPr/>
          <w:p>
            <w:pPr>
              <w:pStyle w:val="Compact"/>
              <w:jc w:val="right"/>
            </w:pPr>
            <w:r>
              <w:t xml:space="preserve">10</w:t>
            </w:r>
          </w:p>
        </w:tc>
        <w:tc>
          <w:tcPr/>
          <w:p>
            <w:pPr>
              <w:pStyle w:val="Compact"/>
              <w:jc w:val="right"/>
            </w:pPr>
            <w:r>
              <w:t xml:space="preserve">4,7 %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4"/>
    <w:bookmarkStart w:id="25" w:name="Xfbb781f613736a46bb37ed0efc9c48996261848"/>
    <w:p>
      <w:pPr>
        <w:pStyle w:val="Heading2"/>
      </w:pPr>
      <w:r>
        <w:rPr>
          <w:rStyle w:val="SectionNumber"/>
        </w:rPr>
        <w:t xml:space="preserve">4.2</w:t>
      </w:r>
      <w:r>
        <w:tab/>
      </w:r>
      <w:r>
        <w:t xml:space="preserve">Expériences de stigmatisation ou de discrimination de la part du personnel santé</w:t>
      </w:r>
    </w:p>
    <w:p>
      <w:pPr>
        <w:pStyle w:val="FirstParagraph"/>
      </w:pPr>
      <w:r>
        <w:rPr>
          <w:b/>
          <w:bCs/>
        </w:rPr>
        <w:t xml:space="preserve">Tableau 3.12 : Répartition des PVVIH ayant déjà vécu un refus de services de santé par le personnel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209</w:t>
            </w:r>
          </w:p>
        </w:tc>
        <w:tc>
          <w:tcPr/>
          <w:p>
            <w:pPr>
              <w:pStyle w:val="Compact"/>
              <w:jc w:val="right"/>
            </w:pPr>
            <w:r>
              <w:t xml:space="preserve">98,1 %</w:t>
            </w:r>
          </w:p>
        </w:tc>
      </w:tr>
      <w:tr>
        <w:tc>
          <w:tcPr/>
          <w:p>
            <w:pPr>
              <w:pStyle w:val="Compact"/>
              <w:jc w:val="left"/>
            </w:pPr>
            <w:r>
              <w:t xml:space="preserve">Oui</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Pas de reponse</w:t>
            </w:r>
          </w:p>
        </w:tc>
        <w:tc>
          <w:tcPr/>
          <w:p>
            <w:pPr>
              <w:pStyle w:val="Compact"/>
              <w:jc w:val="right"/>
            </w:pPr>
            <w:r>
              <w:t xml:space="preserve">2</w:t>
            </w:r>
          </w:p>
        </w:tc>
        <w:tc>
          <w:tcPr/>
          <w:p>
            <w:pPr>
              <w:pStyle w:val="Compact"/>
              <w:jc w:val="right"/>
            </w:pPr>
            <w:r>
              <w:t xml:space="preserve">0,9 %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3.13 : Répartition des PVVIH ayant déjà été conseillés par le personnel de santé de ne pas avoir de relations sexuelles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206</w:t>
            </w:r>
          </w:p>
        </w:tc>
        <w:tc>
          <w:tcPr/>
          <w:p>
            <w:pPr>
              <w:pStyle w:val="Compact"/>
              <w:jc w:val="right"/>
            </w:pPr>
            <w:r>
              <w:t xml:space="preserve">96,7 %</w:t>
            </w:r>
          </w:p>
        </w:tc>
      </w:tr>
      <w:tr>
        <w:tc>
          <w:tcPr/>
          <w:p>
            <w:pPr>
              <w:pStyle w:val="Compact"/>
              <w:jc w:val="left"/>
            </w:pPr>
            <w:r>
              <w:t xml:space="preserve">Oui</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Pas de reponse</w:t>
            </w:r>
          </w:p>
        </w:tc>
        <w:tc>
          <w:tcPr/>
          <w:p>
            <w:pPr>
              <w:pStyle w:val="Compact"/>
              <w:jc w:val="right"/>
            </w:pPr>
            <w:r>
              <w:t xml:space="preserve">3</w:t>
            </w:r>
          </w:p>
        </w:tc>
        <w:tc>
          <w:tcPr/>
          <w:p>
            <w:pPr>
              <w:pStyle w:val="Compact"/>
              <w:jc w:val="right"/>
            </w:pPr>
            <w:r>
              <w:t xml:space="preserve">1,4 %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3.14 : Répartition des PVVIH ayant déjà été victime de critiques et commérages par le personnel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206</w:t>
            </w:r>
          </w:p>
        </w:tc>
        <w:tc>
          <w:tcPr/>
          <w:p>
            <w:pPr>
              <w:pStyle w:val="Compact"/>
              <w:jc w:val="right"/>
            </w:pPr>
            <w:r>
              <w:t xml:space="preserve">96,7 %</w:t>
            </w:r>
          </w:p>
        </w:tc>
      </w:tr>
      <w:tr>
        <w:tc>
          <w:tcPr/>
          <w:p>
            <w:pPr>
              <w:pStyle w:val="Compact"/>
              <w:jc w:val="left"/>
            </w:pPr>
            <w:r>
              <w:t xml:space="preserve">Oui</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3.15 : Répartition des PVVIH ayant déjà été victimes de violence verbale par le personnel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205</w:t>
            </w:r>
          </w:p>
        </w:tc>
        <w:tc>
          <w:tcPr/>
          <w:p>
            <w:pPr>
              <w:pStyle w:val="Compact"/>
              <w:jc w:val="right"/>
            </w:pPr>
            <w:r>
              <w:t xml:space="preserve">96,2 %</w:t>
            </w:r>
          </w:p>
        </w:tc>
      </w:tr>
      <w:tr>
        <w:tc>
          <w:tcPr/>
          <w:p>
            <w:pPr>
              <w:pStyle w:val="Compact"/>
              <w:jc w:val="left"/>
            </w:pPr>
            <w:r>
              <w:t xml:space="preserve">Oui</w:t>
            </w:r>
          </w:p>
        </w:tc>
        <w:tc>
          <w:tcPr/>
          <w:p>
            <w:pPr>
              <w:pStyle w:val="Compact"/>
              <w:jc w:val="right"/>
            </w:pPr>
            <w:r>
              <w:t xml:space="preserve">7</w:t>
            </w:r>
          </w:p>
        </w:tc>
        <w:tc>
          <w:tcPr/>
          <w:p>
            <w:pPr>
              <w:pStyle w:val="Compact"/>
              <w:jc w:val="right"/>
            </w:pPr>
            <w:r>
              <w:t xml:space="preserve">3,3 %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3.16 : Répartition des PVVIH ayant déjà été victimes de violence physique par le personnel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208</w:t>
            </w:r>
          </w:p>
        </w:tc>
        <w:tc>
          <w:tcPr/>
          <w:p>
            <w:pPr>
              <w:pStyle w:val="Compact"/>
              <w:jc w:val="right"/>
            </w:pPr>
            <w:r>
              <w:t xml:space="preserve">97,7 %</w:t>
            </w:r>
          </w:p>
        </w:tc>
      </w:tr>
      <w:tr>
        <w:tc>
          <w:tcPr/>
          <w:p>
            <w:pPr>
              <w:pStyle w:val="Compact"/>
              <w:jc w:val="left"/>
            </w:pPr>
            <w:r>
              <w:t xml:space="preserve">Oui</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3.17 : Répartition des PVVIH ayant déjà vécu une expérience dans laquelle le personnel de santé refusait tout contact physique ou prenait des précautions supplémentaires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206</w:t>
            </w:r>
          </w:p>
        </w:tc>
        <w:tc>
          <w:tcPr/>
          <w:p>
            <w:pPr>
              <w:pStyle w:val="Compact"/>
              <w:jc w:val="right"/>
            </w:pPr>
            <w:r>
              <w:t xml:space="preserve">96,7 %</w:t>
            </w:r>
          </w:p>
        </w:tc>
      </w:tr>
      <w:tr>
        <w:tc>
          <w:tcPr/>
          <w:p>
            <w:pPr>
              <w:pStyle w:val="Compact"/>
              <w:jc w:val="left"/>
            </w:pPr>
            <w:r>
              <w:t xml:space="preserve">Oui</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Pas de reponse</w:t>
            </w:r>
          </w:p>
        </w:tc>
        <w:tc>
          <w:tcPr/>
          <w:p>
            <w:pPr>
              <w:pStyle w:val="Compact"/>
              <w:jc w:val="right"/>
            </w:pPr>
            <w:r>
              <w:t xml:space="preserve">2</w:t>
            </w:r>
          </w:p>
        </w:tc>
        <w:tc>
          <w:tcPr/>
          <w:p>
            <w:pPr>
              <w:pStyle w:val="Compact"/>
              <w:jc w:val="right"/>
            </w:pPr>
            <w:r>
              <w:t xml:space="preserve">0,9 %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3.18 : Répartition des PVVIH ayant déjà vécu une expérience dans laquelle le personnel de santé a parlé de leur séropositivité à d’autres personnes sans leur consentement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204</w:t>
            </w:r>
          </w:p>
        </w:tc>
        <w:tc>
          <w:tcPr/>
          <w:p>
            <w:pPr>
              <w:pStyle w:val="Compact"/>
              <w:jc w:val="right"/>
            </w:pPr>
            <w:r>
              <w:t xml:space="preserve">95,8 %</w:t>
            </w:r>
          </w:p>
        </w:tc>
      </w:tr>
      <w:tr>
        <w:tc>
          <w:tcPr/>
          <w:p>
            <w:pPr>
              <w:pStyle w:val="Compact"/>
              <w:jc w:val="left"/>
            </w:pPr>
            <w:r>
              <w:t xml:space="preserve">Oui</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3.19 : Répartition des PVVIH révélant habituellement leur statut sérologique en dehors de leur centre de prise en charge VIH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194</w:t>
            </w:r>
          </w:p>
        </w:tc>
        <w:tc>
          <w:tcPr/>
          <w:p>
            <w:pPr>
              <w:pStyle w:val="Compact"/>
              <w:jc w:val="right"/>
            </w:pPr>
            <w:r>
              <w:t xml:space="preserve">91,1 %</w:t>
            </w:r>
          </w:p>
        </w:tc>
      </w:tr>
      <w:tr>
        <w:tc>
          <w:tcPr/>
          <w:p>
            <w:pPr>
              <w:pStyle w:val="Compact"/>
              <w:jc w:val="left"/>
            </w:pPr>
            <w:r>
              <w:t xml:space="preserve">Oui</w:t>
            </w:r>
          </w:p>
        </w:tc>
        <w:tc>
          <w:tcPr/>
          <w:p>
            <w:pPr>
              <w:pStyle w:val="Compact"/>
              <w:jc w:val="right"/>
            </w:pPr>
            <w:r>
              <w:t xml:space="preserve">18</w:t>
            </w:r>
          </w:p>
        </w:tc>
        <w:tc>
          <w:tcPr/>
          <w:p>
            <w:pPr>
              <w:pStyle w:val="Compact"/>
              <w:jc w:val="right"/>
            </w:pPr>
            <w:r>
              <w:t xml:space="preserve">8,5 %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5"/>
    <w:bookmarkStart w:id="26" w:name="X714065e7af4882c657f091f39fc7765097a2466"/>
    <w:p>
      <w:pPr>
        <w:pStyle w:val="Heading2"/>
      </w:pPr>
      <w:r>
        <w:rPr>
          <w:rStyle w:val="SectionNumber"/>
        </w:rPr>
        <w:t xml:space="preserve">4.3</w:t>
      </w:r>
      <w:r>
        <w:tab/>
      </w:r>
      <w:r>
        <w:t xml:space="preserve">Expériences vécues au cours des 12 derniers mois</w:t>
      </w:r>
    </w:p>
    <w:p>
      <w:pPr>
        <w:pStyle w:val="FirstParagraph"/>
      </w:pPr>
      <w:r>
        <w:rPr>
          <w:b/>
          <w:bCs/>
        </w:rPr>
        <w:t xml:space="preserve">Tableau 3.20 : Répartition des PVVIH ayant au cours des 12 derniers mois vécu un refus des services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213</w:t>
            </w:r>
          </w:p>
        </w:tc>
        <w:tc>
          <w:tcPr/>
          <w:p>
            <w:pPr>
              <w:pStyle w:val="Compact"/>
              <w:jc w:val="right"/>
            </w:pPr>
            <w:r>
              <w:t xml:space="preserve">100,0 %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3.21 : Répartition des PVVIH ayant au cours des 12 derniers mois vécu un refus de soins dentaires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212</w:t>
            </w:r>
          </w:p>
        </w:tc>
        <w:tc>
          <w:tcPr/>
          <w:p>
            <w:pPr>
              <w:pStyle w:val="Compact"/>
              <w:jc w:val="right"/>
            </w:pPr>
            <w:r>
              <w:t xml:space="preserve">99,5 %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3.22 : Répartition des PVVIH ayant au cours des 12 derniers mois été conseillés de ne pas avoir de relations sexuelles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208</w:t>
            </w:r>
          </w:p>
        </w:tc>
        <w:tc>
          <w:tcPr/>
          <w:p>
            <w:pPr>
              <w:pStyle w:val="Compact"/>
              <w:jc w:val="right"/>
            </w:pPr>
            <w:r>
              <w:t xml:space="preserve">97,7 %</w:t>
            </w:r>
          </w:p>
        </w:tc>
      </w:tr>
      <w:tr>
        <w:tc>
          <w:tcPr/>
          <w:p>
            <w:pPr>
              <w:pStyle w:val="Compact"/>
              <w:jc w:val="left"/>
            </w:pPr>
            <w:r>
              <w:t xml:space="preserve">Oui</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3.23 : Répartition des PVVIH ayant au cours des 12 derniers mois ayant été victimes de commentaires négatifs ou commérages de la part d’agents de santé en raison de leur statut sérologique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209</w:t>
            </w:r>
          </w:p>
        </w:tc>
        <w:tc>
          <w:tcPr/>
          <w:p>
            <w:pPr>
              <w:pStyle w:val="Compact"/>
              <w:jc w:val="right"/>
            </w:pPr>
            <w:r>
              <w:t xml:space="preserve">98,1 %</w:t>
            </w:r>
          </w:p>
        </w:tc>
      </w:tr>
      <w:tr>
        <w:tc>
          <w:tcPr/>
          <w:p>
            <w:pPr>
              <w:pStyle w:val="Compact"/>
              <w:jc w:val="left"/>
            </w:pPr>
            <w:r>
              <w:t xml:space="preserve">Oui</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3.24 : Répartition des PVVIH ayant au cours des 12 derniers mois été victimes de violence verbale par le personnel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207</w:t>
            </w:r>
          </w:p>
        </w:tc>
        <w:tc>
          <w:tcPr/>
          <w:p>
            <w:pPr>
              <w:pStyle w:val="Compact"/>
              <w:jc w:val="right"/>
            </w:pPr>
            <w:r>
              <w:t xml:space="preserve">97,2 %</w:t>
            </w:r>
          </w:p>
        </w:tc>
      </w:tr>
      <w:tr>
        <w:tc>
          <w:tcPr/>
          <w:p>
            <w:pPr>
              <w:pStyle w:val="Compact"/>
              <w:jc w:val="left"/>
            </w:pPr>
            <w:r>
              <w:t xml:space="preserve">Oui</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3.25 : Répartition des PVVIH ayant au cours des 12 derniers mois été victimes de violence physique par le personnel de santé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210</w:t>
            </w:r>
          </w:p>
        </w:tc>
        <w:tc>
          <w:tcPr/>
          <w:p>
            <w:pPr>
              <w:pStyle w:val="Compact"/>
              <w:jc w:val="right"/>
            </w:pPr>
            <w:r>
              <w:t xml:space="preserve">98,6 %</w:t>
            </w:r>
          </w:p>
        </w:tc>
      </w:tr>
      <w:tr>
        <w:tc>
          <w:tcPr/>
          <w:p>
            <w:pPr>
              <w:pStyle w:val="Compact"/>
              <w:jc w:val="left"/>
            </w:pPr>
            <w:r>
              <w:t xml:space="preserve">Oui</w:t>
            </w:r>
          </w:p>
        </w:tc>
        <w:tc>
          <w:tcPr/>
          <w:p>
            <w:pPr>
              <w:pStyle w:val="Compact"/>
              <w:jc w:val="right"/>
            </w:pPr>
            <w:r>
              <w:t xml:space="preserve">3</w:t>
            </w:r>
          </w:p>
        </w:tc>
        <w:tc>
          <w:tcPr/>
          <w:p>
            <w:pPr>
              <w:pStyle w:val="Compact"/>
              <w:jc w:val="right"/>
            </w:pPr>
            <w:r>
              <w:t xml:space="preserve">1,4 %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3.26 : Répartition des PVVIH ayant au cours des 12 derniers mois vécu une expérience dans laquelle le personnel de santé refusait tout contact physique ou prenait des précautions supplémentaires en raison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213</w:t>
            </w:r>
          </w:p>
        </w:tc>
        <w:tc>
          <w:tcPr/>
          <w:p>
            <w:pPr>
              <w:pStyle w:val="Compact"/>
              <w:jc w:val="right"/>
            </w:pPr>
            <w:r>
              <w:t xml:space="preserve">100,0 %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3.27 : Répartition des PVVIH ayant au cours des 12 derniers mois vécu une expérience dans laquelle le personnel de santé a parlé de leur séropositivité à d’autres personnes sans leur consentement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208</w:t>
            </w:r>
          </w:p>
        </w:tc>
        <w:tc>
          <w:tcPr/>
          <w:p>
            <w:pPr>
              <w:pStyle w:val="Compact"/>
              <w:jc w:val="right"/>
            </w:pPr>
            <w:r>
              <w:t xml:space="preserve">97,7 %</w:t>
            </w:r>
          </w:p>
        </w:tc>
      </w:tr>
      <w:tr>
        <w:tc>
          <w:tcPr/>
          <w:p>
            <w:pPr>
              <w:pStyle w:val="Compact"/>
              <w:jc w:val="left"/>
            </w:pPr>
            <w:r>
              <w:t xml:space="preserve">Oui</w:t>
            </w:r>
          </w:p>
        </w:tc>
        <w:tc>
          <w:tcPr/>
          <w:p>
            <w:pPr>
              <w:pStyle w:val="Compact"/>
              <w:jc w:val="right"/>
            </w:pPr>
            <w:r>
              <w:t xml:space="preserve">5</w:t>
            </w:r>
          </w:p>
        </w:tc>
        <w:tc>
          <w:tcPr/>
          <w:p>
            <w:pPr>
              <w:pStyle w:val="Compact"/>
              <w:jc w:val="right"/>
            </w:pPr>
            <w:r>
              <w:t xml:space="preserve">2,3 %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3.28 : Répartition des PVVIH ayant déjà vécu une expérience de stigmatisation ou de discrimination liée à leur statut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205</w:t>
            </w:r>
          </w:p>
        </w:tc>
        <w:tc>
          <w:tcPr/>
          <w:p>
            <w:pPr>
              <w:pStyle w:val="Compact"/>
              <w:jc w:val="right"/>
            </w:pPr>
            <w:r>
              <w:t xml:space="preserve">96,2 %</w:t>
            </w:r>
          </w:p>
        </w:tc>
      </w:tr>
      <w:tr>
        <w:tc>
          <w:tcPr/>
          <w:p>
            <w:pPr>
              <w:pStyle w:val="Compact"/>
              <w:jc w:val="left"/>
            </w:pPr>
            <w:r>
              <w:t xml:space="preserve">Oui</w:t>
            </w:r>
          </w:p>
        </w:tc>
        <w:tc>
          <w:tcPr/>
          <w:p>
            <w:pPr>
              <w:pStyle w:val="Compact"/>
              <w:jc w:val="right"/>
            </w:pPr>
            <w:r>
              <w:t xml:space="preserve">8</w:t>
            </w:r>
          </w:p>
        </w:tc>
        <w:tc>
          <w:tcPr/>
          <w:p>
            <w:pPr>
              <w:pStyle w:val="Compact"/>
              <w:jc w:val="right"/>
            </w:pPr>
            <w:r>
              <w:t xml:space="preserve">3,8 %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6"/>
    <w:bookmarkStart w:id="27" w:name="Xcbc8a6015377fd465bda2b172d4ec407194c425"/>
    <w:p>
      <w:pPr>
        <w:pStyle w:val="Heading2"/>
      </w:pPr>
      <w:r>
        <w:rPr>
          <w:rStyle w:val="SectionNumber"/>
        </w:rPr>
        <w:t xml:space="preserve">4.4</w:t>
      </w:r>
      <w:r>
        <w:tab/>
      </w:r>
      <w:r>
        <w:t xml:space="preserve">Ressenti en rapport avec statut sérologique</w:t>
      </w:r>
    </w:p>
    <w:p>
      <w:pPr>
        <w:pStyle w:val="FirstParagraph"/>
      </w:pPr>
      <w:r>
        <w:rPr>
          <w:b/>
          <w:bCs/>
        </w:rPr>
        <w:t xml:space="preserve">Tableau 3.29 : Répartition des PVVIH par rapport à leur ressenti vis-à-vis de la confiance en soi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67</w:t>
            </w:r>
          </w:p>
        </w:tc>
        <w:tc>
          <w:tcPr/>
          <w:p>
            <w:pPr>
              <w:pStyle w:val="Compact"/>
              <w:jc w:val="right"/>
            </w:pPr>
            <w:r>
              <w:t xml:space="preserve">31,5 %</w:t>
            </w:r>
          </w:p>
        </w:tc>
      </w:tr>
      <w:tr>
        <w:tc>
          <w:tcPr/>
          <w:p>
            <w:pPr>
              <w:pStyle w:val="Compact"/>
              <w:jc w:val="left"/>
            </w:pPr>
            <w:r>
              <w:t xml:space="preserve">Influencé de façon positive par ma séropositivité</w:t>
            </w:r>
          </w:p>
        </w:tc>
        <w:tc>
          <w:tcPr/>
          <w:p>
            <w:pPr>
              <w:pStyle w:val="Compact"/>
              <w:jc w:val="right"/>
            </w:pPr>
            <w:r>
              <w:t xml:space="preserve">24</w:t>
            </w:r>
          </w:p>
        </w:tc>
        <w:tc>
          <w:tcPr/>
          <w:p>
            <w:pPr>
              <w:pStyle w:val="Compact"/>
              <w:jc w:val="right"/>
            </w:pPr>
            <w:r>
              <w:t xml:space="preserve">11,3 %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Pas influencé par ma séropositivité</w:t>
            </w:r>
          </w:p>
        </w:tc>
        <w:tc>
          <w:tcPr/>
          <w:p>
            <w:pPr>
              <w:pStyle w:val="Compact"/>
              <w:jc w:val="right"/>
            </w:pPr>
            <w:r>
              <w:t xml:space="preserve">114</w:t>
            </w:r>
          </w:p>
        </w:tc>
        <w:tc>
          <w:tcPr/>
          <w:p>
            <w:pPr>
              <w:pStyle w:val="Compact"/>
              <w:jc w:val="right"/>
            </w:pPr>
            <w:r>
              <w:t xml:space="preserve">53,5 %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3.30 : Répartition des PVVIH par rapport à leur ressenti vis-à-vis du respect pour eux-mêmes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41</w:t>
            </w:r>
          </w:p>
        </w:tc>
        <w:tc>
          <w:tcPr/>
          <w:p>
            <w:pPr>
              <w:pStyle w:val="Compact"/>
              <w:jc w:val="right"/>
            </w:pPr>
            <w:r>
              <w:t xml:space="preserve">19,2 %</w:t>
            </w:r>
          </w:p>
        </w:tc>
      </w:tr>
      <w:tr>
        <w:tc>
          <w:tcPr/>
          <w:p>
            <w:pPr>
              <w:pStyle w:val="Compact"/>
              <w:jc w:val="left"/>
            </w:pPr>
            <w:r>
              <w:t xml:space="preserve">Influencé de façon positive par ma séropositivité</w:t>
            </w:r>
          </w:p>
        </w:tc>
        <w:tc>
          <w:tcPr/>
          <w:p>
            <w:pPr>
              <w:pStyle w:val="Compact"/>
              <w:jc w:val="right"/>
            </w:pPr>
            <w:r>
              <w:t xml:space="preserve">29</w:t>
            </w:r>
          </w:p>
        </w:tc>
        <w:tc>
          <w:tcPr/>
          <w:p>
            <w:pPr>
              <w:pStyle w:val="Compact"/>
              <w:jc w:val="right"/>
            </w:pPr>
            <w:r>
              <w:t xml:space="preserve">13,6 %</w:t>
            </w:r>
          </w:p>
        </w:tc>
      </w:tr>
      <w:tr>
        <w:tc>
          <w:tcPr/>
          <w:p>
            <w:pPr>
              <w:pStyle w:val="Compact"/>
              <w:jc w:val="left"/>
            </w:pPr>
            <w:r>
              <w:t xml:space="preserve">Non applicable</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Pas influencé par ma séropositivité</w:t>
            </w:r>
          </w:p>
        </w:tc>
        <w:tc>
          <w:tcPr/>
          <w:p>
            <w:pPr>
              <w:pStyle w:val="Compact"/>
              <w:jc w:val="right"/>
            </w:pPr>
            <w:r>
              <w:t xml:space="preserve">139</w:t>
            </w:r>
          </w:p>
        </w:tc>
        <w:tc>
          <w:tcPr/>
          <w:p>
            <w:pPr>
              <w:pStyle w:val="Compact"/>
              <w:jc w:val="right"/>
            </w:pPr>
            <w:r>
              <w:t xml:space="preserve">65,3 %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3.31 : Répartition des PVVIH par rapport à leur ressenti vis-à-vis de leur capacité à respecter les autres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7</w:t>
            </w:r>
          </w:p>
        </w:tc>
        <w:tc>
          <w:tcPr/>
          <w:p>
            <w:pPr>
              <w:pStyle w:val="Compact"/>
              <w:jc w:val="right"/>
            </w:pPr>
            <w:r>
              <w:t xml:space="preserve">3,3 %</w:t>
            </w:r>
          </w:p>
        </w:tc>
      </w:tr>
      <w:tr>
        <w:tc>
          <w:tcPr/>
          <w:p>
            <w:pPr>
              <w:pStyle w:val="Compact"/>
              <w:jc w:val="left"/>
            </w:pPr>
            <w:r>
              <w:t xml:space="preserve">Influencé de façon positive par ma séropositivité</w:t>
            </w:r>
          </w:p>
        </w:tc>
        <w:tc>
          <w:tcPr/>
          <w:p>
            <w:pPr>
              <w:pStyle w:val="Compact"/>
              <w:jc w:val="right"/>
            </w:pPr>
            <w:r>
              <w:t xml:space="preserve">18</w:t>
            </w:r>
          </w:p>
        </w:tc>
        <w:tc>
          <w:tcPr/>
          <w:p>
            <w:pPr>
              <w:pStyle w:val="Compact"/>
              <w:jc w:val="right"/>
            </w:pPr>
            <w:r>
              <w:t xml:space="preserve">8,5 %</w:t>
            </w:r>
          </w:p>
        </w:tc>
      </w:tr>
      <w:tr>
        <w:tc>
          <w:tcPr/>
          <w:p>
            <w:pPr>
              <w:pStyle w:val="Compact"/>
              <w:jc w:val="left"/>
            </w:pPr>
            <w:r>
              <w:t xml:space="preserve">Non applicable</w:t>
            </w:r>
          </w:p>
        </w:tc>
        <w:tc>
          <w:tcPr/>
          <w:p>
            <w:pPr>
              <w:pStyle w:val="Compact"/>
              <w:jc w:val="right"/>
            </w:pPr>
            <w:r>
              <w:t xml:space="preserve">9</w:t>
            </w:r>
          </w:p>
        </w:tc>
        <w:tc>
          <w:tcPr/>
          <w:p>
            <w:pPr>
              <w:pStyle w:val="Compact"/>
              <w:jc w:val="right"/>
            </w:pPr>
            <w:r>
              <w:t xml:space="preserve">4,2 %</w:t>
            </w:r>
          </w:p>
        </w:tc>
      </w:tr>
      <w:tr>
        <w:tc>
          <w:tcPr/>
          <w:p>
            <w:pPr>
              <w:pStyle w:val="Compact"/>
              <w:jc w:val="left"/>
            </w:pPr>
            <w:r>
              <w:t xml:space="preserve">Pas influencé par ma séropositivité</w:t>
            </w:r>
          </w:p>
        </w:tc>
        <w:tc>
          <w:tcPr/>
          <w:p>
            <w:pPr>
              <w:pStyle w:val="Compact"/>
              <w:jc w:val="right"/>
            </w:pPr>
            <w:r>
              <w:t xml:space="preserve">179</w:t>
            </w:r>
          </w:p>
        </w:tc>
        <w:tc>
          <w:tcPr/>
          <w:p>
            <w:pPr>
              <w:pStyle w:val="Compact"/>
              <w:jc w:val="right"/>
            </w:pPr>
            <w:r>
              <w:t xml:space="preserve">84,0 %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3.32 : Répartition des PVVIH par rapport à leur ressenti vis-à-vis de leur capacité à composer avec le stress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61</w:t>
            </w:r>
          </w:p>
        </w:tc>
        <w:tc>
          <w:tcPr/>
          <w:p>
            <w:pPr>
              <w:pStyle w:val="Compact"/>
              <w:jc w:val="right"/>
            </w:pPr>
            <w:r>
              <w:t xml:space="preserve">28,6 %</w:t>
            </w:r>
          </w:p>
        </w:tc>
      </w:tr>
      <w:tr>
        <w:tc>
          <w:tcPr/>
          <w:p>
            <w:pPr>
              <w:pStyle w:val="Compact"/>
              <w:jc w:val="left"/>
            </w:pPr>
            <w:r>
              <w:t xml:space="preserve">Influencé de façon positive par ma séropositivité</w:t>
            </w:r>
          </w:p>
        </w:tc>
        <w:tc>
          <w:tcPr/>
          <w:p>
            <w:pPr>
              <w:pStyle w:val="Compact"/>
              <w:jc w:val="right"/>
            </w:pPr>
            <w:r>
              <w:t xml:space="preserve">25</w:t>
            </w:r>
          </w:p>
        </w:tc>
        <w:tc>
          <w:tcPr/>
          <w:p>
            <w:pPr>
              <w:pStyle w:val="Compact"/>
              <w:jc w:val="right"/>
            </w:pPr>
            <w:r>
              <w:t xml:space="preserve">11,7 %</w:t>
            </w:r>
          </w:p>
        </w:tc>
      </w:tr>
      <w:tr>
        <w:tc>
          <w:tcPr/>
          <w:p>
            <w:pPr>
              <w:pStyle w:val="Compact"/>
              <w:jc w:val="left"/>
            </w:pPr>
            <w:r>
              <w:t xml:space="preserve">Non applicable</w:t>
            </w:r>
          </w:p>
        </w:tc>
        <w:tc>
          <w:tcPr/>
          <w:p>
            <w:pPr>
              <w:pStyle w:val="Compact"/>
              <w:jc w:val="right"/>
            </w:pPr>
            <w:r>
              <w:t xml:space="preserve">7</w:t>
            </w:r>
          </w:p>
        </w:tc>
        <w:tc>
          <w:tcPr/>
          <w:p>
            <w:pPr>
              <w:pStyle w:val="Compact"/>
              <w:jc w:val="right"/>
            </w:pPr>
            <w:r>
              <w:t xml:space="preserve">3,3 %</w:t>
            </w:r>
          </w:p>
        </w:tc>
      </w:tr>
      <w:tr>
        <w:tc>
          <w:tcPr/>
          <w:p>
            <w:pPr>
              <w:pStyle w:val="Compact"/>
              <w:jc w:val="left"/>
            </w:pPr>
            <w:r>
              <w:t xml:space="preserve">Pas influencé par ma séropositivité</w:t>
            </w:r>
          </w:p>
        </w:tc>
        <w:tc>
          <w:tcPr/>
          <w:p>
            <w:pPr>
              <w:pStyle w:val="Compact"/>
              <w:jc w:val="right"/>
            </w:pPr>
            <w:r>
              <w:t xml:space="preserve">120</w:t>
            </w:r>
          </w:p>
        </w:tc>
        <w:tc>
          <w:tcPr/>
          <w:p>
            <w:pPr>
              <w:pStyle w:val="Compact"/>
              <w:jc w:val="right"/>
            </w:pPr>
            <w:r>
              <w:t xml:space="preserve">56,3 %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3.33 : Répartition des PVVIH par rapport à leur ressenti vis-à-vis de leur capacité à trouver l’amour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25</w:t>
            </w:r>
          </w:p>
        </w:tc>
        <w:tc>
          <w:tcPr/>
          <w:p>
            <w:pPr>
              <w:pStyle w:val="Compact"/>
              <w:jc w:val="right"/>
            </w:pPr>
            <w:r>
              <w:t xml:space="preserve">11,7 %</w:t>
            </w:r>
          </w:p>
        </w:tc>
      </w:tr>
      <w:tr>
        <w:tc>
          <w:tcPr/>
          <w:p>
            <w:pPr>
              <w:pStyle w:val="Compact"/>
              <w:jc w:val="left"/>
            </w:pPr>
            <w:r>
              <w:t xml:space="preserve">Influencé de façon positive par ma séropositivité</w:t>
            </w:r>
          </w:p>
        </w:tc>
        <w:tc>
          <w:tcPr/>
          <w:p>
            <w:pPr>
              <w:pStyle w:val="Compact"/>
              <w:jc w:val="right"/>
            </w:pPr>
            <w:r>
              <w:t xml:space="preserve">21</w:t>
            </w:r>
          </w:p>
        </w:tc>
        <w:tc>
          <w:tcPr/>
          <w:p>
            <w:pPr>
              <w:pStyle w:val="Compact"/>
              <w:jc w:val="right"/>
            </w:pPr>
            <w:r>
              <w:t xml:space="preserve">9,9 %</w:t>
            </w:r>
          </w:p>
        </w:tc>
      </w:tr>
      <w:tr>
        <w:tc>
          <w:tcPr/>
          <w:p>
            <w:pPr>
              <w:pStyle w:val="Compact"/>
              <w:jc w:val="left"/>
            </w:pPr>
            <w:r>
              <w:t xml:space="preserve">Non applicable</w:t>
            </w:r>
          </w:p>
        </w:tc>
        <w:tc>
          <w:tcPr/>
          <w:p>
            <w:pPr>
              <w:pStyle w:val="Compact"/>
              <w:jc w:val="right"/>
            </w:pPr>
            <w:r>
              <w:t xml:space="preserve">11</w:t>
            </w:r>
          </w:p>
        </w:tc>
        <w:tc>
          <w:tcPr/>
          <w:p>
            <w:pPr>
              <w:pStyle w:val="Compact"/>
              <w:jc w:val="right"/>
            </w:pPr>
            <w:r>
              <w:t xml:space="preserve">5,2 %</w:t>
            </w:r>
          </w:p>
        </w:tc>
      </w:tr>
      <w:tr>
        <w:tc>
          <w:tcPr/>
          <w:p>
            <w:pPr>
              <w:pStyle w:val="Compact"/>
              <w:jc w:val="left"/>
            </w:pPr>
            <w:r>
              <w:t xml:space="preserve">Pas influencé par ma séropositivité</w:t>
            </w:r>
          </w:p>
        </w:tc>
        <w:tc>
          <w:tcPr/>
          <w:p>
            <w:pPr>
              <w:pStyle w:val="Compact"/>
              <w:jc w:val="right"/>
            </w:pPr>
            <w:r>
              <w:t xml:space="preserve">156</w:t>
            </w:r>
          </w:p>
        </w:tc>
        <w:tc>
          <w:tcPr/>
          <w:p>
            <w:pPr>
              <w:pStyle w:val="Compact"/>
              <w:jc w:val="right"/>
            </w:pPr>
            <w:r>
              <w:t xml:space="preserve">73,2 %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3.34 : Répartition des PVVIH par rapport à leur ressenti vis-à-vis de la réalisation de leurs objectifs personnels et/ou professionnels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11</w:t>
            </w:r>
          </w:p>
        </w:tc>
        <w:tc>
          <w:tcPr/>
          <w:p>
            <w:pPr>
              <w:pStyle w:val="Compact"/>
              <w:jc w:val="right"/>
            </w:pPr>
            <w:r>
              <w:t xml:space="preserve">5,2 %</w:t>
            </w:r>
          </w:p>
        </w:tc>
      </w:tr>
      <w:tr>
        <w:tc>
          <w:tcPr/>
          <w:p>
            <w:pPr>
              <w:pStyle w:val="Compact"/>
              <w:jc w:val="left"/>
            </w:pPr>
            <w:r>
              <w:t xml:space="preserve">Influencé de façon positive par ma séropositivité</w:t>
            </w:r>
          </w:p>
        </w:tc>
        <w:tc>
          <w:tcPr/>
          <w:p>
            <w:pPr>
              <w:pStyle w:val="Compact"/>
              <w:jc w:val="right"/>
            </w:pPr>
            <w:r>
              <w:t xml:space="preserve">25</w:t>
            </w:r>
          </w:p>
        </w:tc>
        <w:tc>
          <w:tcPr/>
          <w:p>
            <w:pPr>
              <w:pStyle w:val="Compact"/>
              <w:jc w:val="right"/>
            </w:pPr>
            <w:r>
              <w:t xml:space="preserve">11,7 %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Pas influencé par ma séropositivité</w:t>
            </w:r>
          </w:p>
        </w:tc>
        <w:tc>
          <w:tcPr/>
          <w:p>
            <w:pPr>
              <w:pStyle w:val="Compact"/>
              <w:jc w:val="right"/>
            </w:pPr>
            <w:r>
              <w:t xml:space="preserve">169</w:t>
            </w:r>
          </w:p>
        </w:tc>
        <w:tc>
          <w:tcPr/>
          <w:p>
            <w:pPr>
              <w:pStyle w:val="Compact"/>
              <w:jc w:val="right"/>
            </w:pPr>
            <w:r>
              <w:t xml:space="preserve">79,3 %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3.35 : Répartition des PVVIH par rapport à leur ressenti vis-à-vis de leur capacité de contribuer à leur communauté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Influencé de façon positive par ma séropositivité</w:t>
            </w:r>
          </w:p>
        </w:tc>
        <w:tc>
          <w:tcPr/>
          <w:p>
            <w:pPr>
              <w:pStyle w:val="Compact"/>
              <w:jc w:val="right"/>
            </w:pPr>
            <w:r>
              <w:t xml:space="preserve">24</w:t>
            </w:r>
          </w:p>
        </w:tc>
        <w:tc>
          <w:tcPr/>
          <w:p>
            <w:pPr>
              <w:pStyle w:val="Compact"/>
              <w:jc w:val="right"/>
            </w:pPr>
            <w:r>
              <w:t xml:space="preserve">11,3 %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t xml:space="preserve">Pas influencé par ma séropositivité</w:t>
            </w:r>
          </w:p>
        </w:tc>
        <w:tc>
          <w:tcPr/>
          <w:p>
            <w:pPr>
              <w:pStyle w:val="Compact"/>
              <w:jc w:val="right"/>
            </w:pPr>
            <w:r>
              <w:t xml:space="preserve">173</w:t>
            </w:r>
          </w:p>
        </w:tc>
        <w:tc>
          <w:tcPr/>
          <w:p>
            <w:pPr>
              <w:pStyle w:val="Compact"/>
              <w:jc w:val="right"/>
            </w:pPr>
            <w:r>
              <w:t xml:space="preserve">81,2 %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3.36 : Répartition des PVVIH par rapport à leur ressenti vis-à-vis de leur capacité à pratiquer une religion, leur foi, à leur façon en rapport avec leur statut sérologique</w:t>
      </w:r>
    </w:p>
    <w:tbl>
      <w:tblPr>
        <w:tblStyle w:val="Table"/>
        <w:tblW w:type="pct" w:w="5000"/>
        <w:tblLayout w:type="fixed"/>
        <w:tblLook w:firstRow="1" w:lastRow="0" w:firstColumn="0" w:lastColumn="0" w:noHBand="0" w:noVBand="0" w:val="0020"/>
      </w:tblPr>
      <w:tblGrid>
        <w:gridCol w:w="5577"/>
        <w:gridCol w:w="1003"/>
        <w:gridCol w:w="1338"/>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Influencé de façon négative par ma séropositivité</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Influencé de façon positive par ma séropositivité</w:t>
            </w:r>
          </w:p>
        </w:tc>
        <w:tc>
          <w:tcPr/>
          <w:p>
            <w:pPr>
              <w:pStyle w:val="Compact"/>
              <w:jc w:val="right"/>
            </w:pPr>
            <w:r>
              <w:t xml:space="preserve">28</w:t>
            </w:r>
          </w:p>
        </w:tc>
        <w:tc>
          <w:tcPr/>
          <w:p>
            <w:pPr>
              <w:pStyle w:val="Compact"/>
              <w:jc w:val="right"/>
            </w:pPr>
            <w:r>
              <w:t xml:space="preserve">13,1 %</w:t>
            </w:r>
          </w:p>
        </w:tc>
      </w:tr>
      <w:tr>
        <w:tc>
          <w:tcPr/>
          <w:p>
            <w:pPr>
              <w:pStyle w:val="Compact"/>
              <w:jc w:val="left"/>
            </w:pPr>
            <w:r>
              <w:t xml:space="preserve">Non applicable</w:t>
            </w:r>
          </w:p>
        </w:tc>
        <w:tc>
          <w:tcPr/>
          <w:p>
            <w:pPr>
              <w:pStyle w:val="Compact"/>
              <w:jc w:val="right"/>
            </w:pPr>
            <w:r>
              <w:t xml:space="preserve">5</w:t>
            </w:r>
          </w:p>
        </w:tc>
        <w:tc>
          <w:tcPr/>
          <w:p>
            <w:pPr>
              <w:pStyle w:val="Compact"/>
              <w:jc w:val="right"/>
            </w:pPr>
            <w:r>
              <w:t xml:space="preserve">2,3 %</w:t>
            </w:r>
          </w:p>
        </w:tc>
      </w:tr>
      <w:tr>
        <w:tc>
          <w:tcPr/>
          <w:p>
            <w:pPr>
              <w:pStyle w:val="Compact"/>
              <w:jc w:val="left"/>
            </w:pPr>
            <w:r>
              <w:t xml:space="preserve">Pas influencé par ma séropositivité</w:t>
            </w:r>
          </w:p>
        </w:tc>
        <w:tc>
          <w:tcPr/>
          <w:p>
            <w:pPr>
              <w:pStyle w:val="Compact"/>
              <w:jc w:val="right"/>
            </w:pPr>
            <w:r>
              <w:t xml:space="preserve">176</w:t>
            </w:r>
          </w:p>
        </w:tc>
        <w:tc>
          <w:tcPr/>
          <w:p>
            <w:pPr>
              <w:pStyle w:val="Compact"/>
              <w:jc w:val="right"/>
            </w:pPr>
            <w:r>
              <w:t xml:space="preserve">82,6 %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7"/>
    <w:bookmarkStart w:id="28" w:name="Xb3f278e357175b376405178ba246fcdf956383f"/>
    <w:p>
      <w:pPr>
        <w:pStyle w:val="Heading2"/>
      </w:pPr>
      <w:r>
        <w:rPr>
          <w:rStyle w:val="SectionNumber"/>
        </w:rPr>
        <w:t xml:space="preserve">4.5</w:t>
      </w:r>
      <w:r>
        <w:tab/>
      </w:r>
      <w:r>
        <w:t xml:space="preserve">Expérience de stigmatisation intériorisée</w:t>
      </w:r>
    </w:p>
    <w:p>
      <w:pPr>
        <w:pStyle w:val="FirstParagraph"/>
      </w:pPr>
      <w:r>
        <w:rPr>
          <w:b/>
          <w:bCs/>
        </w:rPr>
        <w:t xml:space="preserve">Tableau 3.37 : Répartition des PVVIH ayant choisi de ne pas participer à des rencontres sociales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174</w:t>
            </w:r>
          </w:p>
        </w:tc>
        <w:tc>
          <w:tcPr/>
          <w:p>
            <w:pPr>
              <w:pStyle w:val="Compact"/>
              <w:jc w:val="right"/>
            </w:pPr>
            <w:r>
              <w:t xml:space="preserve">81,7 %</w:t>
            </w:r>
          </w:p>
        </w:tc>
      </w:tr>
      <w:tr>
        <w:tc>
          <w:tcPr/>
          <w:p>
            <w:pPr>
              <w:pStyle w:val="Compact"/>
              <w:jc w:val="left"/>
            </w:pPr>
            <w:r>
              <w:t xml:space="preserve">Oui</w:t>
            </w:r>
          </w:p>
        </w:tc>
        <w:tc>
          <w:tcPr/>
          <w:p>
            <w:pPr>
              <w:pStyle w:val="Compact"/>
              <w:jc w:val="right"/>
            </w:pPr>
            <w:r>
              <w:t xml:space="preserve">26</w:t>
            </w:r>
          </w:p>
        </w:tc>
        <w:tc>
          <w:tcPr/>
          <w:p>
            <w:pPr>
              <w:pStyle w:val="Compact"/>
              <w:jc w:val="right"/>
            </w:pPr>
            <w:r>
              <w:t xml:space="preserve">12,2 %</w:t>
            </w:r>
          </w:p>
        </w:tc>
      </w:tr>
      <w:tr>
        <w:tc>
          <w:tcPr/>
          <w:p>
            <w:pPr>
              <w:pStyle w:val="Compact"/>
              <w:jc w:val="left"/>
            </w:pPr>
            <w:r>
              <w:t xml:space="preserve">Non applicable</w:t>
            </w:r>
          </w:p>
        </w:tc>
        <w:tc>
          <w:tcPr/>
          <w:p>
            <w:pPr>
              <w:pStyle w:val="Compact"/>
              <w:jc w:val="right"/>
            </w:pPr>
            <w:r>
              <w:t xml:space="preserve">13</w:t>
            </w:r>
          </w:p>
        </w:tc>
        <w:tc>
          <w:tcPr/>
          <w:p>
            <w:pPr>
              <w:pStyle w:val="Compact"/>
              <w:jc w:val="right"/>
            </w:pPr>
            <w:r>
              <w:t xml:space="preserve">6,1 %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3.38 : Répartition des PVVIH ayant évité de se rendre dans un centre de santé ou un hôpital au moment où ils en avaient besoin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192</w:t>
            </w:r>
          </w:p>
        </w:tc>
        <w:tc>
          <w:tcPr/>
          <w:p>
            <w:pPr>
              <w:pStyle w:val="Compact"/>
              <w:jc w:val="right"/>
            </w:pPr>
            <w:r>
              <w:t xml:space="preserve">90,1 %</w:t>
            </w:r>
          </w:p>
        </w:tc>
      </w:tr>
      <w:tr>
        <w:tc>
          <w:tcPr/>
          <w:p>
            <w:pPr>
              <w:pStyle w:val="Compact"/>
              <w:jc w:val="left"/>
            </w:pPr>
            <w:r>
              <w:t xml:space="preserve">Oui</w:t>
            </w:r>
          </w:p>
        </w:tc>
        <w:tc>
          <w:tcPr/>
          <w:p>
            <w:pPr>
              <w:pStyle w:val="Compact"/>
              <w:jc w:val="right"/>
            </w:pPr>
            <w:r>
              <w:t xml:space="preserve">13</w:t>
            </w:r>
          </w:p>
        </w:tc>
        <w:tc>
          <w:tcPr/>
          <w:p>
            <w:pPr>
              <w:pStyle w:val="Compact"/>
              <w:jc w:val="right"/>
            </w:pPr>
            <w:r>
              <w:t xml:space="preserve">6,1 %</w:t>
            </w:r>
          </w:p>
        </w:tc>
      </w:tr>
      <w:tr>
        <w:tc>
          <w:tcPr/>
          <w:p>
            <w:pPr>
              <w:pStyle w:val="Compact"/>
              <w:jc w:val="left"/>
            </w:pPr>
            <w:r>
              <w:t xml:space="preserve">Non applicable</w:t>
            </w:r>
          </w:p>
        </w:tc>
        <w:tc>
          <w:tcPr/>
          <w:p>
            <w:pPr>
              <w:pStyle w:val="Compact"/>
              <w:jc w:val="right"/>
            </w:pPr>
            <w:r>
              <w:t xml:space="preserve">8</w:t>
            </w:r>
          </w:p>
        </w:tc>
        <w:tc>
          <w:tcPr/>
          <w:p>
            <w:pPr>
              <w:pStyle w:val="Compact"/>
              <w:jc w:val="right"/>
            </w:pPr>
            <w:r>
              <w:t xml:space="preserve">3,8 %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3.39 : Répartition des PVVIH ayant choisi de ne pas postuler un ou des emploi(s)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167</w:t>
            </w:r>
          </w:p>
        </w:tc>
        <w:tc>
          <w:tcPr/>
          <w:p>
            <w:pPr>
              <w:pStyle w:val="Compact"/>
              <w:jc w:val="right"/>
            </w:pPr>
            <w:r>
              <w:t xml:space="preserve">78,4 %</w:t>
            </w:r>
          </w:p>
        </w:tc>
      </w:tr>
      <w:tr>
        <w:tc>
          <w:tcPr/>
          <w:p>
            <w:pPr>
              <w:pStyle w:val="Compact"/>
              <w:jc w:val="left"/>
            </w:pPr>
            <w:r>
              <w:t xml:space="preserve">Oui</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Non applicable</w:t>
            </w:r>
          </w:p>
        </w:tc>
        <w:tc>
          <w:tcPr/>
          <w:p>
            <w:pPr>
              <w:pStyle w:val="Compact"/>
              <w:jc w:val="right"/>
            </w:pPr>
            <w:r>
              <w:t xml:space="preserve">42</w:t>
            </w:r>
          </w:p>
        </w:tc>
        <w:tc>
          <w:tcPr/>
          <w:p>
            <w:pPr>
              <w:pStyle w:val="Compact"/>
              <w:jc w:val="right"/>
            </w:pPr>
            <w:r>
              <w:t xml:space="preserve">19,7 %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3.40 : Répartition des PVVIH ayant choisi de ne pas recourir à du soutien social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182</w:t>
            </w:r>
          </w:p>
        </w:tc>
        <w:tc>
          <w:tcPr/>
          <w:p>
            <w:pPr>
              <w:pStyle w:val="Compact"/>
              <w:jc w:val="right"/>
            </w:pPr>
            <w:r>
              <w:t xml:space="preserve">85,4 %</w:t>
            </w:r>
          </w:p>
        </w:tc>
      </w:tr>
      <w:tr>
        <w:tc>
          <w:tcPr/>
          <w:p>
            <w:pPr>
              <w:pStyle w:val="Compact"/>
              <w:jc w:val="left"/>
            </w:pPr>
            <w:r>
              <w:t xml:space="preserve">Oui</w:t>
            </w:r>
          </w:p>
        </w:tc>
        <w:tc>
          <w:tcPr/>
          <w:p>
            <w:pPr>
              <w:pStyle w:val="Compact"/>
              <w:jc w:val="right"/>
            </w:pPr>
            <w:r>
              <w:t xml:space="preserve">18</w:t>
            </w:r>
          </w:p>
        </w:tc>
        <w:tc>
          <w:tcPr/>
          <w:p>
            <w:pPr>
              <w:pStyle w:val="Compact"/>
              <w:jc w:val="right"/>
            </w:pPr>
            <w:r>
              <w:t xml:space="preserve">8,5 %</w:t>
            </w:r>
          </w:p>
        </w:tc>
      </w:tr>
      <w:tr>
        <w:tc>
          <w:tcPr/>
          <w:p>
            <w:pPr>
              <w:pStyle w:val="Compact"/>
              <w:jc w:val="left"/>
            </w:pPr>
            <w:r>
              <w:t xml:space="preserve">Non applicable</w:t>
            </w:r>
          </w:p>
        </w:tc>
        <w:tc>
          <w:tcPr/>
          <w:p>
            <w:pPr>
              <w:pStyle w:val="Compact"/>
              <w:jc w:val="right"/>
            </w:pPr>
            <w:r>
              <w:t xml:space="preserve">13</w:t>
            </w:r>
          </w:p>
        </w:tc>
        <w:tc>
          <w:tcPr/>
          <w:p>
            <w:pPr>
              <w:pStyle w:val="Compact"/>
              <w:jc w:val="right"/>
            </w:pPr>
            <w:r>
              <w:t xml:space="preserve">6,1 %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3.41 : Répartition des PVVIH ayant décidé de s’isoler de leur famille et/ou de leurs amis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204</w:t>
            </w:r>
          </w:p>
        </w:tc>
        <w:tc>
          <w:tcPr/>
          <w:p>
            <w:pPr>
              <w:pStyle w:val="Compact"/>
              <w:jc w:val="right"/>
            </w:pPr>
            <w:r>
              <w:t xml:space="preserve">95,8 %</w:t>
            </w:r>
          </w:p>
        </w:tc>
      </w:tr>
      <w:tr>
        <w:tc>
          <w:tcPr/>
          <w:p>
            <w:pPr>
              <w:pStyle w:val="Compact"/>
              <w:jc w:val="left"/>
            </w:pPr>
            <w:r>
              <w:t xml:space="preserve">Oui</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Non applicable</w:t>
            </w:r>
          </w:p>
        </w:tc>
        <w:tc>
          <w:tcPr/>
          <w:p>
            <w:pPr>
              <w:pStyle w:val="Compact"/>
              <w:jc w:val="right"/>
            </w:pPr>
            <w:r>
              <w:t xml:space="preserve">7</w:t>
            </w:r>
          </w:p>
        </w:tc>
        <w:tc>
          <w:tcPr/>
          <w:p>
            <w:pPr>
              <w:pStyle w:val="Compact"/>
              <w:jc w:val="right"/>
            </w:pPr>
            <w:r>
              <w:t xml:space="preserve">3,3 %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3.42 : Répartition des PVVIH ayant décidé de ne pas avoir de relations sexuelles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167</w:t>
            </w:r>
          </w:p>
        </w:tc>
        <w:tc>
          <w:tcPr/>
          <w:p>
            <w:pPr>
              <w:pStyle w:val="Compact"/>
              <w:jc w:val="right"/>
            </w:pPr>
            <w:r>
              <w:t xml:space="preserve">78,4 %</w:t>
            </w:r>
          </w:p>
        </w:tc>
      </w:tr>
      <w:tr>
        <w:tc>
          <w:tcPr/>
          <w:p>
            <w:pPr>
              <w:pStyle w:val="Compact"/>
              <w:jc w:val="left"/>
            </w:pPr>
            <w:r>
              <w:t xml:space="preserve">Oui</w:t>
            </w:r>
          </w:p>
        </w:tc>
        <w:tc>
          <w:tcPr/>
          <w:p>
            <w:pPr>
              <w:pStyle w:val="Compact"/>
              <w:jc w:val="right"/>
            </w:pPr>
            <w:r>
              <w:t xml:space="preserve">36</w:t>
            </w:r>
          </w:p>
        </w:tc>
        <w:tc>
          <w:tcPr/>
          <w:p>
            <w:pPr>
              <w:pStyle w:val="Compact"/>
              <w:jc w:val="right"/>
            </w:pPr>
            <w:r>
              <w:t xml:space="preserve">16,9 %</w:t>
            </w:r>
          </w:p>
        </w:tc>
      </w:tr>
      <w:tr>
        <w:tc>
          <w:tcPr/>
          <w:p>
            <w:pPr>
              <w:pStyle w:val="Compact"/>
              <w:jc w:val="left"/>
            </w:pPr>
            <w:r>
              <w:t xml:space="preserve">Non applicable</w:t>
            </w:r>
          </w:p>
        </w:tc>
        <w:tc>
          <w:tcPr/>
          <w:p>
            <w:pPr>
              <w:pStyle w:val="Compact"/>
              <w:jc w:val="right"/>
            </w:pPr>
            <w:r>
              <w:t xml:space="preserve">10</w:t>
            </w:r>
          </w:p>
        </w:tc>
        <w:tc>
          <w:tcPr/>
          <w:p>
            <w:pPr>
              <w:pStyle w:val="Compact"/>
              <w:jc w:val="right"/>
            </w:pPr>
            <w:r>
              <w:t xml:space="preserve">4,7 %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8"/>
    <w:bookmarkStart w:id="29" w:name="X51e29b183d33f752b1b9d13f06df5760ff9c8af"/>
    <w:p>
      <w:pPr>
        <w:pStyle w:val="Heading2"/>
      </w:pPr>
      <w:r>
        <w:rPr>
          <w:rStyle w:val="SectionNumber"/>
        </w:rPr>
        <w:t xml:space="preserve">4.6</w:t>
      </w:r>
      <w:r>
        <w:tab/>
      </w:r>
      <w:r>
        <w:t xml:space="preserve">Opinion sur les comportements de stigmatisation intériorisée</w:t>
      </w:r>
    </w:p>
    <w:p>
      <w:pPr>
        <w:pStyle w:val="FirstParagraph"/>
      </w:pPr>
      <w:r>
        <w:rPr>
          <w:b/>
          <w:bCs/>
        </w:rPr>
        <w:t xml:space="preserve">Tableau 3.43 : Répartition des PVVIH estimant que parler de leur séropositivité aux gens leur est difficile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Non/En désaccord</w:t>
            </w:r>
          </w:p>
        </w:tc>
        <w:tc>
          <w:tcPr/>
          <w:p>
            <w:pPr>
              <w:pStyle w:val="Compact"/>
              <w:jc w:val="right"/>
            </w:pPr>
            <w:r>
              <w:t xml:space="preserve">43</w:t>
            </w:r>
          </w:p>
        </w:tc>
        <w:tc>
          <w:tcPr/>
          <w:p>
            <w:pPr>
              <w:pStyle w:val="Compact"/>
              <w:jc w:val="right"/>
            </w:pPr>
            <w:r>
              <w:t xml:space="preserve">20,2 %</w:t>
            </w:r>
          </w:p>
        </w:tc>
      </w:tr>
      <w:tr>
        <w:tc>
          <w:tcPr/>
          <w:p>
            <w:pPr>
              <w:pStyle w:val="Compact"/>
              <w:jc w:val="left"/>
            </w:pPr>
            <w:r>
              <w:t xml:space="preserve">Oui/D’accord</w:t>
            </w:r>
          </w:p>
        </w:tc>
        <w:tc>
          <w:tcPr/>
          <w:p>
            <w:pPr>
              <w:pStyle w:val="Compact"/>
              <w:jc w:val="right"/>
            </w:pPr>
            <w:r>
              <w:t xml:space="preserve">170</w:t>
            </w:r>
          </w:p>
        </w:tc>
        <w:tc>
          <w:tcPr/>
          <w:p>
            <w:pPr>
              <w:pStyle w:val="Compact"/>
              <w:jc w:val="right"/>
            </w:pPr>
            <w:r>
              <w:t xml:space="preserve">79,8 %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3.44 : Répartition des PVVIH estimant qu’avoir le VIH leur donne l’impression d’être sale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Non/En désaccord</w:t>
            </w:r>
          </w:p>
        </w:tc>
        <w:tc>
          <w:tcPr/>
          <w:p>
            <w:pPr>
              <w:pStyle w:val="Compact"/>
              <w:jc w:val="right"/>
            </w:pPr>
            <w:r>
              <w:t xml:space="preserve">183</w:t>
            </w:r>
          </w:p>
        </w:tc>
        <w:tc>
          <w:tcPr/>
          <w:p>
            <w:pPr>
              <w:pStyle w:val="Compact"/>
              <w:jc w:val="right"/>
            </w:pPr>
            <w:r>
              <w:t xml:space="preserve">85,9 %</w:t>
            </w:r>
          </w:p>
        </w:tc>
      </w:tr>
      <w:tr>
        <w:tc>
          <w:tcPr/>
          <w:p>
            <w:pPr>
              <w:pStyle w:val="Compact"/>
              <w:jc w:val="left"/>
            </w:pPr>
            <w:r>
              <w:t xml:space="preserve">Oui/D’accord</w:t>
            </w:r>
          </w:p>
        </w:tc>
        <w:tc>
          <w:tcPr/>
          <w:p>
            <w:pPr>
              <w:pStyle w:val="Compact"/>
              <w:jc w:val="right"/>
            </w:pPr>
            <w:r>
              <w:t xml:space="preserve">30</w:t>
            </w:r>
          </w:p>
        </w:tc>
        <w:tc>
          <w:tcPr/>
          <w:p>
            <w:pPr>
              <w:pStyle w:val="Compact"/>
              <w:jc w:val="right"/>
            </w:pPr>
            <w:r>
              <w:t xml:space="preserve">14,1 %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3.45 : Répartition des PVVIH se sentant coupable d’avoir le VIH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Non/En désaccord</w:t>
            </w:r>
          </w:p>
        </w:tc>
        <w:tc>
          <w:tcPr/>
          <w:p>
            <w:pPr>
              <w:pStyle w:val="Compact"/>
              <w:jc w:val="right"/>
            </w:pPr>
            <w:r>
              <w:t xml:space="preserve">166</w:t>
            </w:r>
          </w:p>
        </w:tc>
        <w:tc>
          <w:tcPr/>
          <w:p>
            <w:pPr>
              <w:pStyle w:val="Compact"/>
              <w:jc w:val="right"/>
            </w:pPr>
            <w:r>
              <w:t xml:space="preserve">77,9 %</w:t>
            </w:r>
          </w:p>
        </w:tc>
      </w:tr>
      <w:tr>
        <w:tc>
          <w:tcPr/>
          <w:p>
            <w:pPr>
              <w:pStyle w:val="Compact"/>
              <w:jc w:val="left"/>
            </w:pPr>
            <w:r>
              <w:t xml:space="preserve">Oui/D’accord</w:t>
            </w:r>
          </w:p>
        </w:tc>
        <w:tc>
          <w:tcPr/>
          <w:p>
            <w:pPr>
              <w:pStyle w:val="Compact"/>
              <w:jc w:val="right"/>
            </w:pPr>
            <w:r>
              <w:t xml:space="preserve">47</w:t>
            </w:r>
          </w:p>
        </w:tc>
        <w:tc>
          <w:tcPr/>
          <w:p>
            <w:pPr>
              <w:pStyle w:val="Compact"/>
              <w:jc w:val="right"/>
            </w:pPr>
            <w:r>
              <w:t xml:space="preserve">22,1 %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3.46 : Répartition des PVVIH estimant avoir honte d’avoir le VIH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Non/En désaccord</w:t>
            </w:r>
          </w:p>
        </w:tc>
        <w:tc>
          <w:tcPr/>
          <w:p>
            <w:pPr>
              <w:pStyle w:val="Compact"/>
              <w:jc w:val="right"/>
            </w:pPr>
            <w:r>
              <w:t xml:space="preserve">108</w:t>
            </w:r>
          </w:p>
        </w:tc>
        <w:tc>
          <w:tcPr/>
          <w:p>
            <w:pPr>
              <w:pStyle w:val="Compact"/>
              <w:jc w:val="right"/>
            </w:pPr>
            <w:r>
              <w:t xml:space="preserve">50,7 %</w:t>
            </w:r>
          </w:p>
        </w:tc>
      </w:tr>
      <w:tr>
        <w:tc>
          <w:tcPr/>
          <w:p>
            <w:pPr>
              <w:pStyle w:val="Compact"/>
              <w:jc w:val="left"/>
            </w:pPr>
            <w:r>
              <w:t xml:space="preserve">Oui/D’accord</w:t>
            </w:r>
          </w:p>
        </w:tc>
        <w:tc>
          <w:tcPr/>
          <w:p>
            <w:pPr>
              <w:pStyle w:val="Compact"/>
              <w:jc w:val="right"/>
            </w:pPr>
            <w:r>
              <w:t xml:space="preserve">105</w:t>
            </w:r>
          </w:p>
        </w:tc>
        <w:tc>
          <w:tcPr/>
          <w:p>
            <w:pPr>
              <w:pStyle w:val="Compact"/>
              <w:jc w:val="right"/>
            </w:pPr>
            <w:r>
              <w:t xml:space="preserve">49,3 %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3.47 : Répartition des PVVIH s’estimant parfois inutile du fait de leur séropositivité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Non/En désaccord</w:t>
            </w:r>
          </w:p>
        </w:tc>
        <w:tc>
          <w:tcPr/>
          <w:p>
            <w:pPr>
              <w:pStyle w:val="Compact"/>
              <w:jc w:val="right"/>
            </w:pPr>
            <w:r>
              <w:t xml:space="preserve">184</w:t>
            </w:r>
          </w:p>
        </w:tc>
        <w:tc>
          <w:tcPr/>
          <w:p>
            <w:pPr>
              <w:pStyle w:val="Compact"/>
              <w:jc w:val="right"/>
            </w:pPr>
            <w:r>
              <w:t xml:space="preserve">86,4 %</w:t>
            </w:r>
          </w:p>
        </w:tc>
      </w:tr>
      <w:tr>
        <w:tc>
          <w:tcPr/>
          <w:p>
            <w:pPr>
              <w:pStyle w:val="Compact"/>
              <w:jc w:val="left"/>
            </w:pPr>
            <w:r>
              <w:t xml:space="preserve">Oui/D’accord</w:t>
            </w:r>
          </w:p>
        </w:tc>
        <w:tc>
          <w:tcPr/>
          <w:p>
            <w:pPr>
              <w:pStyle w:val="Compact"/>
              <w:jc w:val="right"/>
            </w:pPr>
            <w:r>
              <w:t xml:space="preserve">29</w:t>
            </w:r>
          </w:p>
        </w:tc>
        <w:tc>
          <w:tcPr/>
          <w:p>
            <w:pPr>
              <w:pStyle w:val="Compact"/>
              <w:jc w:val="right"/>
            </w:pPr>
            <w:r>
              <w:t xml:space="preserve">13,6 %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3.48 : Répartition des PVVIH cachant leur séropositivité aux gens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Non/En désaccord</w:t>
            </w:r>
          </w:p>
        </w:tc>
        <w:tc>
          <w:tcPr/>
          <w:p>
            <w:pPr>
              <w:pStyle w:val="Compact"/>
              <w:jc w:val="right"/>
            </w:pPr>
            <w:r>
              <w:t xml:space="preserve">37</w:t>
            </w:r>
          </w:p>
        </w:tc>
        <w:tc>
          <w:tcPr/>
          <w:p>
            <w:pPr>
              <w:pStyle w:val="Compact"/>
              <w:jc w:val="right"/>
            </w:pPr>
            <w:r>
              <w:t xml:space="preserve">17,4 %</w:t>
            </w:r>
          </w:p>
        </w:tc>
      </w:tr>
      <w:tr>
        <w:tc>
          <w:tcPr/>
          <w:p>
            <w:pPr>
              <w:pStyle w:val="Compact"/>
              <w:jc w:val="left"/>
            </w:pPr>
            <w:r>
              <w:t xml:space="preserve">Oui/D’accord</w:t>
            </w:r>
          </w:p>
        </w:tc>
        <w:tc>
          <w:tcPr/>
          <w:p>
            <w:pPr>
              <w:pStyle w:val="Compact"/>
              <w:jc w:val="right"/>
            </w:pPr>
            <w:r>
              <w:t xml:space="preserve">176</w:t>
            </w:r>
          </w:p>
        </w:tc>
        <w:tc>
          <w:tcPr/>
          <w:p>
            <w:pPr>
              <w:pStyle w:val="Compact"/>
              <w:jc w:val="right"/>
            </w:pPr>
            <w:r>
              <w:t xml:space="preserve">82,6 %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29"/>
    <w:bookmarkEnd w:id="30"/>
    <w:bookmarkStart w:id="39" w:name="Xd8bd58327a5b5d0fa8b009d2c50a30dfbb3ba23"/>
    <w:p>
      <w:pPr>
        <w:pStyle w:val="Heading1"/>
      </w:pPr>
      <w:r>
        <w:rPr>
          <w:rStyle w:val="SectionNumber"/>
        </w:rPr>
        <w:t xml:space="preserve">5</w:t>
      </w:r>
      <w:r>
        <w:tab/>
      </w:r>
      <w:r>
        <w:t xml:space="preserve">Section 4 : Traitement et adhésion thérapeutique</w:t>
      </w:r>
    </w:p>
    <w:p>
      <w:pPr>
        <w:pStyle w:val="FirstParagraph"/>
      </w:pPr>
      <w:r>
        <w:rPr>
          <w:b/>
          <w:bCs/>
        </w:rPr>
        <w:t xml:space="preserve">Tableau 4.1 : Durée de traitement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212</w:t>
            </w:r>
          </w:p>
        </w:tc>
      </w:tr>
      <w:tr>
        <w:tc>
          <w:tcPr/>
          <w:p>
            <w:pPr>
              <w:pStyle w:val="Compact"/>
              <w:jc w:val="left"/>
            </w:pPr>
            <w:r>
              <w:t xml:space="preserve">Moyenne</w:t>
            </w:r>
          </w:p>
        </w:tc>
        <w:tc>
          <w:tcPr/>
          <w:p>
            <w:pPr>
              <w:pStyle w:val="Compact"/>
              <w:jc w:val="right"/>
            </w:pPr>
            <w:r>
              <w:t xml:space="preserve">103,38</w:t>
            </w:r>
          </w:p>
        </w:tc>
      </w:tr>
      <w:tr>
        <w:tc>
          <w:tcPr/>
          <w:p>
            <w:pPr>
              <w:pStyle w:val="Compact"/>
              <w:jc w:val="left"/>
            </w:pPr>
            <w:r>
              <w:t xml:space="preserve">Médiane</w:t>
            </w:r>
          </w:p>
        </w:tc>
        <w:tc>
          <w:tcPr/>
          <w:p>
            <w:pPr>
              <w:pStyle w:val="Compact"/>
              <w:jc w:val="right"/>
            </w:pPr>
            <w:r>
              <w:t xml:space="preserve">81,70</w:t>
            </w:r>
          </w:p>
        </w:tc>
      </w:tr>
      <w:tr>
        <w:tc>
          <w:tcPr/>
          <w:p>
            <w:pPr>
              <w:pStyle w:val="Compact"/>
              <w:jc w:val="left"/>
            </w:pPr>
            <w:r>
              <w:t xml:space="preserve">Écart-type</w:t>
            </w:r>
          </w:p>
        </w:tc>
        <w:tc>
          <w:tcPr/>
          <w:p>
            <w:pPr>
              <w:pStyle w:val="Compact"/>
              <w:jc w:val="right"/>
            </w:pPr>
            <w:r>
              <w:t xml:space="preserve">64,81</w:t>
            </w:r>
          </w:p>
        </w:tc>
      </w:tr>
      <w:tr>
        <w:tc>
          <w:tcPr/>
          <w:p>
            <w:pPr>
              <w:pStyle w:val="Compact"/>
              <w:jc w:val="left"/>
            </w:pPr>
            <w:r>
              <w:t xml:space="preserve">Minimum</w:t>
            </w:r>
          </w:p>
        </w:tc>
        <w:tc>
          <w:tcPr/>
          <w:p>
            <w:pPr>
              <w:pStyle w:val="Compact"/>
              <w:jc w:val="right"/>
            </w:pPr>
            <w:r>
              <w:t xml:space="preserve">12.8</w:t>
            </w:r>
          </w:p>
        </w:tc>
      </w:tr>
      <w:tr>
        <w:tc>
          <w:tcPr/>
          <w:p>
            <w:pPr>
              <w:pStyle w:val="Compact"/>
              <w:jc w:val="left"/>
            </w:pPr>
            <w:r>
              <w:t xml:space="preserve">Maximum</w:t>
            </w:r>
          </w:p>
        </w:tc>
        <w:tc>
          <w:tcPr/>
          <w:p>
            <w:pPr>
              <w:pStyle w:val="Compact"/>
              <w:jc w:val="right"/>
            </w:pPr>
            <w:r>
              <w:t xml:space="preserve">283.6</w:t>
            </w:r>
          </w:p>
        </w:tc>
      </w:tr>
    </w:tbl>
    <w:p>
      <w:pPr>
        <w:pStyle w:val="BodyText"/>
      </w:pPr>
    </w:p>
    <w:p>
      <w:pPr>
        <w:pStyle w:val="BodyText"/>
      </w:pPr>
      <w:r>
        <w:rPr>
          <w:b/>
          <w:bCs/>
        </w:rPr>
        <w:t xml:space="preserve">Distribution de la durée du traitement ARV</w:t>
      </w:r>
    </w:p>
    <w:p>
      <w:pPr>
        <w:pStyle w:val="BodyText"/>
      </w:pPr>
      <w:r>
        <w:drawing>
          <wp:inline>
            <wp:extent cx="5334000" cy="4000500"/>
            <wp:effectExtent b="0" l="0" r="0" t="0"/>
            <wp:docPr descr="" title="" id="32" name="Picture"/>
            <a:graphic>
              <a:graphicData uri="http://schemas.openxmlformats.org/drawingml/2006/picture">
                <pic:pic>
                  <pic:nvPicPr>
                    <pic:cNvPr descr="analyse_plan_officiel_files/figure-docx/section4-traitement-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rPr>
          <w:b/>
          <w:bCs/>
        </w:rPr>
        <w:t xml:space="preserve">Tableau 4.2 : Répartition des PVVIH prenant d’autres médicaments pour traiter une pathologie chronique (Diabète, HTA, etc.) en dehors du traitement ARV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188</w:t>
            </w:r>
          </w:p>
        </w:tc>
        <w:tc>
          <w:tcPr/>
          <w:p>
            <w:pPr>
              <w:pStyle w:val="Compact"/>
              <w:jc w:val="right"/>
            </w:pPr>
            <w:r>
              <w:t xml:space="preserve">88,3 %</w:t>
            </w:r>
          </w:p>
        </w:tc>
      </w:tr>
      <w:tr>
        <w:tc>
          <w:tcPr/>
          <w:p>
            <w:pPr>
              <w:pStyle w:val="Compact"/>
              <w:jc w:val="left"/>
            </w:pPr>
            <w:r>
              <w:t xml:space="preserve">Oui</w:t>
            </w:r>
          </w:p>
        </w:tc>
        <w:tc>
          <w:tcPr/>
          <w:p>
            <w:pPr>
              <w:pStyle w:val="Compact"/>
              <w:jc w:val="right"/>
            </w:pPr>
            <w:r>
              <w:t xml:space="preserve">24</w:t>
            </w:r>
          </w:p>
        </w:tc>
        <w:tc>
          <w:tcPr/>
          <w:p>
            <w:pPr>
              <w:pStyle w:val="Compact"/>
              <w:jc w:val="right"/>
            </w:pPr>
            <w:r>
              <w:t xml:space="preserve">11,3 %</w:t>
            </w:r>
          </w:p>
        </w:tc>
      </w:tr>
      <w:tr>
        <w:tc>
          <w:tcPr/>
          <w:p>
            <w:pPr>
              <w:pStyle w:val="Compact"/>
              <w:jc w:val="left"/>
            </w:pPr>
            <w:r>
              <w:t xml:space="preserve">Pas de reponse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4.3 : Répartition des PVVIH ayant recours aux médicaments traditionnels ou phytomédicaments en plus de leurs médicaments conventionnels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181</w:t>
            </w:r>
          </w:p>
        </w:tc>
        <w:tc>
          <w:tcPr/>
          <w:p>
            <w:pPr>
              <w:pStyle w:val="Compact"/>
              <w:jc w:val="right"/>
            </w:pPr>
            <w:r>
              <w:t xml:space="preserve">85,0 %</w:t>
            </w:r>
          </w:p>
        </w:tc>
      </w:tr>
      <w:tr>
        <w:tc>
          <w:tcPr/>
          <w:p>
            <w:pPr>
              <w:pStyle w:val="Compact"/>
              <w:jc w:val="left"/>
            </w:pPr>
            <w:r>
              <w:t xml:space="preserve">Oui</w:t>
            </w:r>
          </w:p>
        </w:tc>
        <w:tc>
          <w:tcPr/>
          <w:p>
            <w:pPr>
              <w:pStyle w:val="Compact"/>
              <w:jc w:val="right"/>
            </w:pPr>
            <w:r>
              <w:t xml:space="preserve">27</w:t>
            </w:r>
          </w:p>
        </w:tc>
        <w:tc>
          <w:tcPr/>
          <w:p>
            <w:pPr>
              <w:pStyle w:val="Compact"/>
              <w:jc w:val="right"/>
            </w:pPr>
            <w:r>
              <w:t xml:space="preserve">12,7 %</w:t>
            </w:r>
          </w:p>
        </w:tc>
      </w:tr>
      <w:tr>
        <w:tc>
          <w:tcPr/>
          <w:p>
            <w:pPr>
              <w:pStyle w:val="Compact"/>
              <w:jc w:val="left"/>
            </w:pPr>
            <w:r>
              <w:t xml:space="preserve">Pas de reponse</w:t>
            </w:r>
          </w:p>
        </w:tc>
        <w:tc>
          <w:tcPr/>
          <w:p>
            <w:pPr>
              <w:pStyle w:val="Compact"/>
              <w:jc w:val="right"/>
            </w:pPr>
            <w:r>
              <w:t xml:space="preserve">5</w:t>
            </w:r>
          </w:p>
        </w:tc>
        <w:tc>
          <w:tcPr/>
          <w:p>
            <w:pPr>
              <w:pStyle w:val="Compact"/>
              <w:jc w:val="right"/>
            </w:pPr>
            <w:r>
              <w:t xml:space="preserve">2,3 %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Start w:id="34" w:name="Xd466b8dd548a9cdfd0d2d32ae01eb78128a92f4"/>
    <w:p>
      <w:pPr>
        <w:pStyle w:val="Heading2"/>
      </w:pPr>
      <w:r>
        <w:rPr>
          <w:rStyle w:val="SectionNumber"/>
        </w:rPr>
        <w:t xml:space="preserve">5.1</w:t>
      </w:r>
      <w:r>
        <w:tab/>
      </w:r>
      <w:r>
        <w:t xml:space="preserve">Évaluation subjective de l’adhésion au traitement</w:t>
      </w:r>
    </w:p>
    <w:p>
      <w:pPr>
        <w:pStyle w:val="FirstParagraph"/>
      </w:pPr>
      <w:r>
        <w:rPr>
          <w:b/>
          <w:bCs/>
        </w:rPr>
        <w:t xml:space="preserve">Tableau 4.4 : Répartition des PVVIH selon la durée de leur oubli de prendre leurs médicaments contre le VIH pendant au moins un jour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0 mois</w:t>
            </w:r>
          </w:p>
        </w:tc>
        <w:tc>
          <w:tcPr/>
          <w:p>
            <w:pPr>
              <w:pStyle w:val="Compact"/>
              <w:jc w:val="right"/>
            </w:pPr>
            <w:r>
              <w:t xml:space="preserve">160</w:t>
            </w:r>
          </w:p>
        </w:tc>
        <w:tc>
          <w:tcPr/>
          <w:p>
            <w:pPr>
              <w:pStyle w:val="Compact"/>
              <w:jc w:val="right"/>
            </w:pPr>
            <w:r>
              <w:t xml:space="preserve">75,1 %</w:t>
            </w:r>
          </w:p>
        </w:tc>
      </w:tr>
      <w:tr>
        <w:tc>
          <w:tcPr/>
          <w:p>
            <w:pPr>
              <w:pStyle w:val="Compact"/>
              <w:jc w:val="left"/>
            </w:pPr>
            <w:r>
              <w:t xml:space="preserve">1 à 2 mois</w:t>
            </w:r>
          </w:p>
        </w:tc>
        <w:tc>
          <w:tcPr/>
          <w:p>
            <w:pPr>
              <w:pStyle w:val="Compact"/>
              <w:jc w:val="right"/>
            </w:pPr>
            <w:r>
              <w:t xml:space="preserve">48</w:t>
            </w:r>
          </w:p>
        </w:tc>
        <w:tc>
          <w:tcPr/>
          <w:p>
            <w:pPr>
              <w:pStyle w:val="Compact"/>
              <w:jc w:val="right"/>
            </w:pPr>
            <w:r>
              <w:t xml:space="preserve">22,5 %</w:t>
            </w:r>
          </w:p>
        </w:tc>
      </w:tr>
      <w:tr>
        <w:tc>
          <w:tcPr/>
          <w:p>
            <w:pPr>
              <w:pStyle w:val="Compact"/>
              <w:jc w:val="left"/>
            </w:pPr>
            <w:r>
              <w:t xml:space="preserve">3 à 4 mois</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5 mois ou plus</w:t>
            </w:r>
          </w:p>
        </w:tc>
        <w:tc>
          <w:tcPr/>
          <w:p>
            <w:pPr>
              <w:pStyle w:val="Compact"/>
              <w:jc w:val="right"/>
            </w:pPr>
            <w:r>
              <w:t xml:space="preserve">2</w:t>
            </w:r>
          </w:p>
        </w:tc>
        <w:tc>
          <w:tcPr/>
          <w:p>
            <w:pPr>
              <w:pStyle w:val="Compact"/>
              <w:jc w:val="right"/>
            </w:pPr>
            <w:r>
              <w:t xml:space="preserve">0,9 %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4.5 : Score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3,72</w:t>
            </w:r>
          </w:p>
        </w:tc>
      </w:tr>
      <w:tr>
        <w:tc>
          <w:tcPr/>
          <w:p>
            <w:pPr>
              <w:pStyle w:val="Compact"/>
              <w:jc w:val="left"/>
            </w:pPr>
            <w:r>
              <w:t xml:space="preserve">Médiane</w:t>
            </w:r>
          </w:p>
        </w:tc>
        <w:tc>
          <w:tcPr/>
          <w:p>
            <w:pPr>
              <w:pStyle w:val="Compact"/>
              <w:jc w:val="right"/>
            </w:pPr>
            <w:r>
              <w:t xml:space="preserve">4,00</w:t>
            </w:r>
          </w:p>
        </w:tc>
      </w:tr>
      <w:tr>
        <w:tc>
          <w:tcPr/>
          <w:p>
            <w:pPr>
              <w:pStyle w:val="Compact"/>
              <w:jc w:val="left"/>
            </w:pPr>
            <w:r>
              <w:t xml:space="preserve">Écart-type</w:t>
            </w:r>
          </w:p>
        </w:tc>
        <w:tc>
          <w:tcPr/>
          <w:p>
            <w:pPr>
              <w:pStyle w:val="Compact"/>
              <w:jc w:val="right"/>
            </w:pPr>
            <w:r>
              <w:t xml:space="preserve">0,54</w:t>
            </w:r>
          </w:p>
        </w:tc>
      </w:tr>
      <w:tr>
        <w:tc>
          <w:tcPr/>
          <w:p>
            <w:pPr>
              <w:pStyle w:val="Compact"/>
              <w:jc w:val="left"/>
            </w:pPr>
            <w:r>
              <w:t xml:space="preserve">Minimum</w:t>
            </w:r>
          </w:p>
        </w:tc>
        <w:tc>
          <w:tcPr/>
          <w:p>
            <w:pPr>
              <w:pStyle w:val="Compact"/>
              <w:jc w:val="right"/>
            </w:pPr>
            <w:r>
              <w:t xml:space="preserve">1</w:t>
            </w:r>
          </w:p>
        </w:tc>
      </w:tr>
      <w:tr>
        <w:tc>
          <w:tcPr/>
          <w:p>
            <w:pPr>
              <w:pStyle w:val="Compact"/>
              <w:jc w:val="left"/>
            </w:pPr>
            <w:r>
              <w:t xml:space="preserve">Maximum</w:t>
            </w:r>
          </w:p>
        </w:tc>
        <w:tc>
          <w:tcPr/>
          <w:p>
            <w:pPr>
              <w:pStyle w:val="Compact"/>
              <w:jc w:val="right"/>
            </w:pPr>
            <w:r>
              <w:t xml:space="preserve">4</w:t>
            </w:r>
          </w:p>
        </w:tc>
      </w:tr>
    </w:tbl>
    <w:p>
      <w:pPr>
        <w:pStyle w:val="BodyText"/>
      </w:pPr>
    </w:p>
    <w:p>
      <w:pPr>
        <w:pStyle w:val="BodyText"/>
      </w:pPr>
      <w:r>
        <w:rPr>
          <w:b/>
          <w:bCs/>
        </w:rPr>
        <w:t xml:space="preserve">Tableau 4.6 : Répartition des PVVIH selon la fréquence à laquelle ils trouvent difficile de se rappeler de leur prise de médicaments contre le VIH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Jamais</w:t>
            </w:r>
          </w:p>
        </w:tc>
        <w:tc>
          <w:tcPr/>
          <w:p>
            <w:pPr>
              <w:pStyle w:val="Compact"/>
              <w:jc w:val="right"/>
            </w:pPr>
            <w:r>
              <w:t xml:space="preserve">87</w:t>
            </w:r>
          </w:p>
        </w:tc>
        <w:tc>
          <w:tcPr/>
          <w:p>
            <w:pPr>
              <w:pStyle w:val="Compact"/>
              <w:jc w:val="right"/>
            </w:pPr>
            <w:r>
              <w:t xml:space="preserve">40,8 %</w:t>
            </w:r>
          </w:p>
        </w:tc>
      </w:tr>
      <w:tr>
        <w:tc>
          <w:tcPr/>
          <w:p>
            <w:pPr>
              <w:pStyle w:val="Compact"/>
              <w:jc w:val="left"/>
            </w:pPr>
            <w:r>
              <w:t xml:space="preserve">Rarement</w:t>
            </w:r>
          </w:p>
        </w:tc>
        <w:tc>
          <w:tcPr/>
          <w:p>
            <w:pPr>
              <w:pStyle w:val="Compact"/>
              <w:jc w:val="right"/>
            </w:pPr>
            <w:r>
              <w:t xml:space="preserve">83</w:t>
            </w:r>
          </w:p>
        </w:tc>
        <w:tc>
          <w:tcPr/>
          <w:p>
            <w:pPr>
              <w:pStyle w:val="Compact"/>
              <w:jc w:val="right"/>
            </w:pPr>
            <w:r>
              <w:t xml:space="preserve">39,0 %</w:t>
            </w:r>
          </w:p>
        </w:tc>
      </w:tr>
      <w:tr>
        <w:tc>
          <w:tcPr/>
          <w:p>
            <w:pPr>
              <w:pStyle w:val="Compact"/>
              <w:jc w:val="left"/>
            </w:pPr>
            <w:r>
              <w:t xml:space="preserve">Parfois</w:t>
            </w:r>
          </w:p>
        </w:tc>
        <w:tc>
          <w:tcPr/>
          <w:p>
            <w:pPr>
              <w:pStyle w:val="Compact"/>
              <w:jc w:val="right"/>
            </w:pPr>
            <w:r>
              <w:t xml:space="preserve">27</w:t>
            </w:r>
          </w:p>
        </w:tc>
        <w:tc>
          <w:tcPr/>
          <w:p>
            <w:pPr>
              <w:pStyle w:val="Compact"/>
              <w:jc w:val="right"/>
            </w:pPr>
            <w:r>
              <w:t xml:space="preserve">12,7 %</w:t>
            </w:r>
          </w:p>
        </w:tc>
      </w:tr>
      <w:tr>
        <w:tc>
          <w:tcPr/>
          <w:p>
            <w:pPr>
              <w:pStyle w:val="Compact"/>
              <w:jc w:val="left"/>
            </w:pPr>
            <w:r>
              <w:t xml:space="preserve">Souvent</w:t>
            </w:r>
          </w:p>
        </w:tc>
        <w:tc>
          <w:tcPr/>
          <w:p>
            <w:pPr>
              <w:pStyle w:val="Compact"/>
              <w:jc w:val="right"/>
            </w:pPr>
            <w:r>
              <w:t xml:space="preserve">13</w:t>
            </w:r>
          </w:p>
        </w:tc>
        <w:tc>
          <w:tcPr/>
          <w:p>
            <w:pPr>
              <w:pStyle w:val="Compact"/>
              <w:jc w:val="right"/>
            </w:pPr>
            <w:r>
              <w:t xml:space="preserve">6,1 %</w:t>
            </w:r>
          </w:p>
        </w:tc>
      </w:tr>
      <w:tr>
        <w:tc>
          <w:tcPr/>
          <w:p>
            <w:pPr>
              <w:pStyle w:val="Compact"/>
              <w:jc w:val="left"/>
            </w:pPr>
            <w:r>
              <w:t xml:space="preserve">Tout le temps</w:t>
            </w:r>
          </w:p>
        </w:tc>
        <w:tc>
          <w:tcPr/>
          <w:p>
            <w:pPr>
              <w:pStyle w:val="Compact"/>
              <w:jc w:val="right"/>
            </w:pPr>
            <w:r>
              <w:t xml:space="preserve">3</w:t>
            </w:r>
          </w:p>
        </w:tc>
        <w:tc>
          <w:tcPr/>
          <w:p>
            <w:pPr>
              <w:pStyle w:val="Compact"/>
              <w:jc w:val="right"/>
            </w:pPr>
            <w:r>
              <w:t xml:space="preserve">1,4 %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4.7 : Score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3,12</w:t>
            </w:r>
          </w:p>
        </w:tc>
      </w:tr>
      <w:tr>
        <w:tc>
          <w:tcPr/>
          <w:p>
            <w:pPr>
              <w:pStyle w:val="Compact"/>
              <w:jc w:val="left"/>
            </w:pPr>
            <w:r>
              <w:t xml:space="preserve">Médiane</w:t>
            </w:r>
          </w:p>
        </w:tc>
        <w:tc>
          <w:tcPr/>
          <w:p>
            <w:pPr>
              <w:pStyle w:val="Compact"/>
              <w:jc w:val="right"/>
            </w:pPr>
            <w:r>
              <w:t xml:space="preserve">3,00</w:t>
            </w:r>
          </w:p>
        </w:tc>
      </w:tr>
      <w:tr>
        <w:tc>
          <w:tcPr/>
          <w:p>
            <w:pPr>
              <w:pStyle w:val="Compact"/>
              <w:jc w:val="left"/>
            </w:pPr>
            <w:r>
              <w:t xml:space="preserve">Écart-type</w:t>
            </w:r>
          </w:p>
        </w:tc>
        <w:tc>
          <w:tcPr/>
          <w:p>
            <w:pPr>
              <w:pStyle w:val="Compact"/>
              <w:jc w:val="right"/>
            </w:pPr>
            <w:r>
              <w:t xml:space="preserve">0,95</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Maximum</w:t>
            </w:r>
          </w:p>
        </w:tc>
        <w:tc>
          <w:tcPr/>
          <w:p>
            <w:pPr>
              <w:pStyle w:val="Compact"/>
              <w:jc w:val="right"/>
            </w:pPr>
            <w:r>
              <w:t xml:space="preserve">4</w:t>
            </w:r>
          </w:p>
        </w:tc>
      </w:tr>
    </w:tbl>
    <w:p>
      <w:pPr>
        <w:pStyle w:val="BodyText"/>
      </w:pPr>
    </w:p>
    <w:p>
      <w:pPr>
        <w:pStyle w:val="BodyText"/>
      </w:pPr>
      <w:r>
        <w:rPr>
          <w:b/>
          <w:bCs/>
        </w:rPr>
        <w:t xml:space="preserve">Tableau 4.8 : Répartition des PVVIH selon la fréquence à laquelle ils ont pris leurs médicaments plus de 6 heures après l’heure prévue,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Jamais</w:t>
            </w:r>
          </w:p>
        </w:tc>
        <w:tc>
          <w:tcPr/>
          <w:p>
            <w:pPr>
              <w:pStyle w:val="Compact"/>
              <w:jc w:val="right"/>
            </w:pPr>
            <w:r>
              <w:t xml:space="preserve">122</w:t>
            </w:r>
          </w:p>
        </w:tc>
        <w:tc>
          <w:tcPr/>
          <w:p>
            <w:pPr>
              <w:pStyle w:val="Compact"/>
              <w:jc w:val="right"/>
            </w:pPr>
            <w:r>
              <w:t xml:space="preserve">57,3 %</w:t>
            </w:r>
          </w:p>
        </w:tc>
      </w:tr>
      <w:tr>
        <w:tc>
          <w:tcPr/>
          <w:p>
            <w:pPr>
              <w:pStyle w:val="Compact"/>
              <w:jc w:val="left"/>
            </w:pPr>
            <w:r>
              <w:t xml:space="preserve">Rarement</w:t>
            </w:r>
          </w:p>
        </w:tc>
        <w:tc>
          <w:tcPr/>
          <w:p>
            <w:pPr>
              <w:pStyle w:val="Compact"/>
              <w:jc w:val="right"/>
            </w:pPr>
            <w:r>
              <w:t xml:space="preserve">68</w:t>
            </w:r>
          </w:p>
        </w:tc>
        <w:tc>
          <w:tcPr/>
          <w:p>
            <w:pPr>
              <w:pStyle w:val="Compact"/>
              <w:jc w:val="right"/>
            </w:pPr>
            <w:r>
              <w:t xml:space="preserve">31,9 %</w:t>
            </w:r>
          </w:p>
        </w:tc>
      </w:tr>
      <w:tr>
        <w:tc>
          <w:tcPr/>
          <w:p>
            <w:pPr>
              <w:pStyle w:val="Compact"/>
              <w:jc w:val="left"/>
            </w:pPr>
            <w:r>
              <w:t xml:space="preserve">Parfois</w:t>
            </w:r>
          </w:p>
        </w:tc>
        <w:tc>
          <w:tcPr/>
          <w:p>
            <w:pPr>
              <w:pStyle w:val="Compact"/>
              <w:jc w:val="right"/>
            </w:pPr>
            <w:r>
              <w:t xml:space="preserve">16</w:t>
            </w:r>
          </w:p>
        </w:tc>
        <w:tc>
          <w:tcPr/>
          <w:p>
            <w:pPr>
              <w:pStyle w:val="Compact"/>
              <w:jc w:val="right"/>
            </w:pPr>
            <w:r>
              <w:t xml:space="preserve">7,5 %</w:t>
            </w:r>
          </w:p>
        </w:tc>
      </w:tr>
      <w:tr>
        <w:tc>
          <w:tcPr/>
          <w:p>
            <w:pPr>
              <w:pStyle w:val="Compact"/>
              <w:jc w:val="left"/>
            </w:pPr>
            <w:r>
              <w:t xml:space="preserve">Souvent</w:t>
            </w:r>
          </w:p>
        </w:tc>
        <w:tc>
          <w:tcPr/>
          <w:p>
            <w:pPr>
              <w:pStyle w:val="Compact"/>
              <w:jc w:val="right"/>
            </w:pPr>
            <w:r>
              <w:t xml:space="preserve">6</w:t>
            </w:r>
          </w:p>
        </w:tc>
        <w:tc>
          <w:tcPr/>
          <w:p>
            <w:pPr>
              <w:pStyle w:val="Compact"/>
              <w:jc w:val="right"/>
            </w:pPr>
            <w:r>
              <w:t xml:space="preserve">2,8 %</w:t>
            </w:r>
          </w:p>
        </w:tc>
      </w:tr>
      <w:tr>
        <w:tc>
          <w:tcPr/>
          <w:p>
            <w:pPr>
              <w:pStyle w:val="Compact"/>
              <w:jc w:val="left"/>
            </w:pPr>
            <w:r>
              <w:t xml:space="preserve">Tout le temps</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4.9 : Score 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3,43</w:t>
            </w:r>
          </w:p>
        </w:tc>
      </w:tr>
      <w:tr>
        <w:tc>
          <w:tcPr/>
          <w:p>
            <w:pPr>
              <w:pStyle w:val="Compact"/>
              <w:jc w:val="left"/>
            </w:pPr>
            <w:r>
              <w:t xml:space="preserve">Médiane</w:t>
            </w:r>
          </w:p>
        </w:tc>
        <w:tc>
          <w:tcPr/>
          <w:p>
            <w:pPr>
              <w:pStyle w:val="Compact"/>
              <w:jc w:val="right"/>
            </w:pPr>
            <w:r>
              <w:t xml:space="preserve">4,00</w:t>
            </w:r>
          </w:p>
        </w:tc>
      </w:tr>
      <w:tr>
        <w:tc>
          <w:tcPr/>
          <w:p>
            <w:pPr>
              <w:pStyle w:val="Compact"/>
              <w:jc w:val="left"/>
            </w:pPr>
            <w:r>
              <w:t xml:space="preserve">Écart-type</w:t>
            </w:r>
          </w:p>
        </w:tc>
        <w:tc>
          <w:tcPr/>
          <w:p>
            <w:pPr>
              <w:pStyle w:val="Compact"/>
              <w:jc w:val="right"/>
            </w:pPr>
            <w:r>
              <w:t xml:space="preserve">0,79</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Maximum</w:t>
            </w:r>
          </w:p>
        </w:tc>
        <w:tc>
          <w:tcPr/>
          <w:p>
            <w:pPr>
              <w:pStyle w:val="Compact"/>
              <w:jc w:val="right"/>
            </w:pPr>
            <w:r>
              <w:t xml:space="preserve">4</w:t>
            </w:r>
          </w:p>
        </w:tc>
      </w:tr>
    </w:tbl>
    <w:p>
      <w:pPr>
        <w:pStyle w:val="BodyText"/>
      </w:pPr>
    </w:p>
    <w:p>
      <w:pPr>
        <w:pStyle w:val="BodyText"/>
      </w:pPr>
      <w:r>
        <w:rPr>
          <w:b/>
          <w:bCs/>
        </w:rPr>
        <w:t xml:space="preserve">Tableau 4.10 : Score subjectif</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14,58</w:t>
            </w:r>
          </w:p>
        </w:tc>
      </w:tr>
      <w:tr>
        <w:tc>
          <w:tcPr/>
          <w:p>
            <w:pPr>
              <w:pStyle w:val="Compact"/>
              <w:jc w:val="left"/>
            </w:pPr>
            <w:r>
              <w:t xml:space="preserve">Médiane</w:t>
            </w:r>
          </w:p>
        </w:tc>
        <w:tc>
          <w:tcPr/>
          <w:p>
            <w:pPr>
              <w:pStyle w:val="Compact"/>
              <w:jc w:val="right"/>
            </w:pPr>
            <w:r>
              <w:t xml:space="preserve">12,00</w:t>
            </w:r>
          </w:p>
        </w:tc>
      </w:tr>
      <w:tr>
        <w:tc>
          <w:tcPr/>
          <w:p>
            <w:pPr>
              <w:pStyle w:val="Compact"/>
              <w:jc w:val="left"/>
            </w:pPr>
            <w:r>
              <w:t xml:space="preserve">Écart-type</w:t>
            </w:r>
          </w:p>
        </w:tc>
        <w:tc>
          <w:tcPr/>
          <w:p>
            <w:pPr>
              <w:pStyle w:val="Compact"/>
              <w:jc w:val="right"/>
            </w:pPr>
            <w:r>
              <w:t xml:space="preserve">8,55</w:t>
            </w:r>
          </w:p>
        </w:tc>
      </w:tr>
      <w:tr>
        <w:tc>
          <w:tcPr/>
          <w:p>
            <w:pPr>
              <w:pStyle w:val="Compact"/>
              <w:jc w:val="left"/>
            </w:pPr>
            <w:r>
              <w:t xml:space="preserve">Minimum</w:t>
            </w:r>
          </w:p>
        </w:tc>
        <w:tc>
          <w:tcPr/>
          <w:p>
            <w:pPr>
              <w:pStyle w:val="Compact"/>
              <w:jc w:val="right"/>
            </w:pPr>
            <w:r>
              <w:t xml:space="preserve">3</w:t>
            </w:r>
          </w:p>
        </w:tc>
      </w:tr>
      <w:tr>
        <w:tc>
          <w:tcPr/>
          <w:p>
            <w:pPr>
              <w:pStyle w:val="Compact"/>
              <w:jc w:val="left"/>
            </w:pPr>
            <w:r>
              <w:t xml:space="preserve">Maximum</w:t>
            </w:r>
          </w:p>
        </w:tc>
        <w:tc>
          <w:tcPr/>
          <w:p>
            <w:pPr>
              <w:pStyle w:val="Compact"/>
              <w:jc w:val="right"/>
            </w:pPr>
            <w:r>
              <w:t xml:space="preserve">51</w:t>
            </w:r>
          </w:p>
        </w:tc>
      </w:tr>
    </w:tbl>
    <w:p>
      <w:pPr>
        <w:pStyle w:val="BodyText"/>
      </w:pPr>
    </w:p>
    <w:p>
      <w:pPr>
        <w:pStyle w:val="BodyText"/>
      </w:pPr>
      <w:r>
        <w:rPr>
          <w:b/>
          <w:bCs/>
        </w:rPr>
        <w:t xml:space="preserve">Tableau 4.11 : Répartition des PVVIH selon l’adhérence subjective</w:t>
      </w:r>
    </w:p>
    <w:tbl>
      <w:tblPr>
        <w:tblStyle w:val="Table"/>
        <w:tblW w:type="pct" w:w="5000"/>
        <w:tblLayout w:type="fixed"/>
        <w:tblLook w:firstRow="1" w:lastRow="0" w:firstColumn="0" w:lastColumn="0" w:noHBand="0" w:noVBand="0" w:val="0020"/>
      </w:tblPr>
      <w:tblGrid>
        <w:gridCol w:w="5814"/>
        <w:gridCol w:w="902"/>
        <w:gridCol w:w="1203"/>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Bonne adhérence</w:t>
            </w:r>
          </w:p>
        </w:tc>
        <w:tc>
          <w:tcPr/>
          <w:p>
            <w:pPr>
              <w:pStyle w:val="Compact"/>
              <w:jc w:val="right"/>
            </w:pPr>
            <w:r>
              <w:t xml:space="preserve">176</w:t>
            </w:r>
          </w:p>
        </w:tc>
        <w:tc>
          <w:tcPr/>
          <w:p>
            <w:pPr>
              <w:pStyle w:val="Compact"/>
              <w:jc w:val="right"/>
            </w:pPr>
            <w:r>
              <w:t xml:space="preserve">82,6 %</w:t>
            </w:r>
          </w:p>
        </w:tc>
      </w:tr>
      <w:tr>
        <w:tc>
          <w:tcPr/>
          <w:p>
            <w:pPr>
              <w:pStyle w:val="Compact"/>
              <w:jc w:val="left"/>
            </w:pPr>
            <w:r>
              <w:t xml:space="preserve">Adhérence sous optimale; risque accru d’échec virologique</w:t>
            </w:r>
          </w:p>
        </w:tc>
        <w:tc>
          <w:tcPr/>
          <w:p>
            <w:pPr>
              <w:pStyle w:val="Compact"/>
              <w:jc w:val="right"/>
            </w:pPr>
            <w:r>
              <w:t xml:space="preserve">37</w:t>
            </w:r>
          </w:p>
        </w:tc>
        <w:tc>
          <w:tcPr/>
          <w:p>
            <w:pPr>
              <w:pStyle w:val="Compact"/>
              <w:jc w:val="right"/>
            </w:pPr>
            <w:r>
              <w:t xml:space="preserve">17,4 %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 Points d’observance subjective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0,83</w:t>
            </w:r>
          </w:p>
        </w:tc>
      </w:tr>
      <w:tr>
        <w:tc>
          <w:tcPr/>
          <w:p>
            <w:pPr>
              <w:pStyle w:val="Compact"/>
              <w:jc w:val="left"/>
            </w:pPr>
            <w:r>
              <w:t xml:space="preserve">Médiane</w:t>
            </w:r>
          </w:p>
        </w:tc>
        <w:tc>
          <w:tcPr/>
          <w:p>
            <w:pPr>
              <w:pStyle w:val="Compact"/>
              <w:jc w:val="right"/>
            </w:pPr>
            <w:r>
              <w:t xml:space="preserve">1,00</w:t>
            </w:r>
          </w:p>
        </w:tc>
      </w:tr>
      <w:tr>
        <w:tc>
          <w:tcPr/>
          <w:p>
            <w:pPr>
              <w:pStyle w:val="Compact"/>
              <w:jc w:val="left"/>
            </w:pPr>
            <w:r>
              <w:t xml:space="preserve">Écart-type</w:t>
            </w:r>
          </w:p>
        </w:tc>
        <w:tc>
          <w:tcPr/>
          <w:p>
            <w:pPr>
              <w:pStyle w:val="Compact"/>
              <w:jc w:val="right"/>
            </w:pPr>
            <w:r>
              <w:t xml:space="preserve">0,38</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Maximum</w:t>
            </w:r>
          </w:p>
        </w:tc>
        <w:tc>
          <w:tcPr/>
          <w:p>
            <w:pPr>
              <w:pStyle w:val="Compact"/>
              <w:jc w:val="right"/>
            </w:pPr>
            <w:r>
              <w:t xml:space="preserve">1</w:t>
            </w:r>
          </w:p>
        </w:tc>
      </w:tr>
    </w:tbl>
    <w:p>
      <w:pPr>
        <w:pStyle w:val="BodyText"/>
      </w:pPr>
    </w:p>
    <w:bookmarkEnd w:id="34"/>
    <w:bookmarkStart w:id="35" w:name="Xe0d084a956f627eba8dc224132cd55015af7c32"/>
    <w:p>
      <w:pPr>
        <w:pStyle w:val="Heading2"/>
      </w:pPr>
      <w:r>
        <w:rPr>
          <w:rStyle w:val="SectionNumber"/>
        </w:rPr>
        <w:t xml:space="preserve">5.2</w:t>
      </w:r>
      <w:r>
        <w:tab/>
      </w:r>
      <w:r>
        <w:t xml:space="preserve">Évaluation objective de l’adhésion au traitement</w:t>
      </w:r>
    </w:p>
    <w:p>
      <w:pPr>
        <w:pStyle w:val="FirstParagraph"/>
      </w:pPr>
      <w:r>
        <w:rPr>
          <w:b/>
          <w:bCs/>
        </w:rPr>
        <w:t xml:space="preserve">Tableau 4.13 : Répartition des PVVIH selon le résultat de leur charge virale au cours des 12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Charge virale indétectable (&lt; 50 copies/ml)</w:t>
            </w:r>
          </w:p>
        </w:tc>
        <w:tc>
          <w:tcPr/>
          <w:p>
            <w:pPr>
              <w:pStyle w:val="Compact"/>
              <w:jc w:val="right"/>
            </w:pPr>
            <w:r>
              <w:t xml:space="preserve">173</w:t>
            </w:r>
          </w:p>
        </w:tc>
        <w:tc>
          <w:tcPr/>
          <w:p>
            <w:pPr>
              <w:pStyle w:val="Compact"/>
              <w:jc w:val="right"/>
            </w:pPr>
            <w:r>
              <w:t xml:space="preserve">81,2 %</w:t>
            </w:r>
          </w:p>
        </w:tc>
      </w:tr>
      <w:tr>
        <w:tc>
          <w:tcPr/>
          <w:p>
            <w:pPr>
              <w:pStyle w:val="Compact"/>
              <w:jc w:val="left"/>
            </w:pPr>
            <w:r>
              <w:t xml:space="preserve">Charge virale détectable (&gt; 50 copies/ml)</w:t>
            </w:r>
          </w:p>
        </w:tc>
        <w:tc>
          <w:tcPr/>
          <w:p>
            <w:pPr>
              <w:pStyle w:val="Compact"/>
              <w:jc w:val="right"/>
            </w:pPr>
            <w:r>
              <w:t xml:space="preserve">40</w:t>
            </w:r>
          </w:p>
        </w:tc>
        <w:tc>
          <w:tcPr/>
          <w:p>
            <w:pPr>
              <w:pStyle w:val="Compact"/>
              <w:jc w:val="right"/>
            </w:pPr>
            <w:r>
              <w:t xml:space="preserve">18,8 %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4.14 : Répartition des PVVIH selon l’adhérence objective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Mauvaise observance (Charge virale détectable)</w:t>
            </w:r>
          </w:p>
        </w:tc>
        <w:tc>
          <w:tcPr/>
          <w:p>
            <w:pPr>
              <w:pStyle w:val="Compact"/>
              <w:jc w:val="right"/>
            </w:pPr>
            <w:r>
              <w:t xml:space="preserve">40</w:t>
            </w:r>
          </w:p>
        </w:tc>
        <w:tc>
          <w:tcPr/>
          <w:p>
            <w:pPr>
              <w:pStyle w:val="Compact"/>
              <w:jc w:val="right"/>
            </w:pPr>
            <w:r>
              <w:t xml:space="preserve">18,8 %</w:t>
            </w:r>
          </w:p>
        </w:tc>
      </w:tr>
      <w:tr>
        <w:tc>
          <w:tcPr/>
          <w:p>
            <w:pPr>
              <w:pStyle w:val="Compact"/>
              <w:jc w:val="left"/>
            </w:pPr>
            <w:r>
              <w:t xml:space="preserve">Bonne adhérence (Charge virale indétectable)</w:t>
            </w:r>
          </w:p>
        </w:tc>
        <w:tc>
          <w:tcPr/>
          <w:p>
            <w:pPr>
              <w:pStyle w:val="Compact"/>
              <w:jc w:val="right"/>
            </w:pPr>
            <w:r>
              <w:t xml:space="preserve">173</w:t>
            </w:r>
          </w:p>
        </w:tc>
        <w:tc>
          <w:tcPr/>
          <w:p>
            <w:pPr>
              <w:pStyle w:val="Compact"/>
              <w:jc w:val="right"/>
            </w:pPr>
            <w:r>
              <w:t xml:space="preserve">81,2 %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 Points d’observance objective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0,81</w:t>
            </w:r>
          </w:p>
        </w:tc>
      </w:tr>
      <w:tr>
        <w:tc>
          <w:tcPr/>
          <w:p>
            <w:pPr>
              <w:pStyle w:val="Compact"/>
              <w:jc w:val="left"/>
            </w:pPr>
            <w:r>
              <w:t xml:space="preserve">Médiane</w:t>
            </w:r>
          </w:p>
        </w:tc>
        <w:tc>
          <w:tcPr/>
          <w:p>
            <w:pPr>
              <w:pStyle w:val="Compact"/>
              <w:jc w:val="right"/>
            </w:pPr>
            <w:r>
              <w:t xml:space="preserve">1,00</w:t>
            </w:r>
          </w:p>
        </w:tc>
      </w:tr>
      <w:tr>
        <w:tc>
          <w:tcPr/>
          <w:p>
            <w:pPr>
              <w:pStyle w:val="Compact"/>
              <w:jc w:val="left"/>
            </w:pPr>
            <w:r>
              <w:t xml:space="preserve">Écart-type</w:t>
            </w:r>
          </w:p>
        </w:tc>
        <w:tc>
          <w:tcPr/>
          <w:p>
            <w:pPr>
              <w:pStyle w:val="Compact"/>
              <w:jc w:val="right"/>
            </w:pPr>
            <w:r>
              <w:t xml:space="preserve">0,39</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Maximum</w:t>
            </w:r>
          </w:p>
        </w:tc>
        <w:tc>
          <w:tcPr/>
          <w:p>
            <w:pPr>
              <w:pStyle w:val="Compact"/>
              <w:jc w:val="right"/>
            </w:pPr>
            <w:r>
              <w:t xml:space="preserve">1</w:t>
            </w:r>
          </w:p>
        </w:tc>
      </w:tr>
    </w:tbl>
    <w:p>
      <w:pPr>
        <w:pStyle w:val="BodyText"/>
      </w:pPr>
    </w:p>
    <w:bookmarkEnd w:id="35"/>
    <w:bookmarkStart w:id="36" w:name="observance-globale"/>
    <w:p>
      <w:pPr>
        <w:pStyle w:val="Heading2"/>
      </w:pPr>
      <w:r>
        <w:rPr>
          <w:rStyle w:val="SectionNumber"/>
        </w:rPr>
        <w:t xml:space="preserve">5.3</w:t>
      </w:r>
      <w:r>
        <w:tab/>
      </w:r>
      <w:r>
        <w:t xml:space="preserve">Observance globale</w:t>
      </w:r>
    </w:p>
    <w:p>
      <w:pPr>
        <w:pStyle w:val="FirstParagraph"/>
      </w:pPr>
      <w:r>
        <w:rPr>
          <w:b/>
          <w:bCs/>
        </w:rPr>
        <w:t xml:space="preserve">Tableau 4.16 : Répartition des PVVIH selon le Score observance globale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Statistique</w:t>
            </w:r>
          </w:p>
        </w:tc>
        <w:tc>
          <w:tcPr/>
          <w:p>
            <w:pPr>
              <w:pStyle w:val="Compact"/>
              <w:jc w:val="right"/>
            </w:pPr>
            <w:r>
              <w:t xml:space="preserve">Valeur</w:t>
            </w:r>
          </w:p>
        </w:tc>
      </w:tr>
      <w:tr>
        <w:tc>
          <w:tcPr/>
          <w:p>
            <w:pPr>
              <w:pStyle w:val="Compact"/>
              <w:jc w:val="left"/>
            </w:pPr>
            <w:r>
              <w:t xml:space="preserve">N</w:t>
            </w:r>
          </w:p>
        </w:tc>
        <w:tc>
          <w:tcPr/>
          <w:p>
            <w:pPr>
              <w:pStyle w:val="Compact"/>
              <w:jc w:val="right"/>
            </w:pPr>
            <w:r>
              <w:t xml:space="preserve">213</w:t>
            </w:r>
          </w:p>
        </w:tc>
      </w:tr>
      <w:tr>
        <w:tc>
          <w:tcPr/>
          <w:p>
            <w:pPr>
              <w:pStyle w:val="Compact"/>
              <w:jc w:val="left"/>
            </w:pPr>
            <w:r>
              <w:t xml:space="preserve">Moyenne</w:t>
            </w:r>
          </w:p>
        </w:tc>
        <w:tc>
          <w:tcPr/>
          <w:p>
            <w:pPr>
              <w:pStyle w:val="Compact"/>
              <w:jc w:val="right"/>
            </w:pPr>
            <w:r>
              <w:t xml:space="preserve">2,26</w:t>
            </w:r>
          </w:p>
        </w:tc>
      </w:tr>
      <w:tr>
        <w:tc>
          <w:tcPr/>
          <w:p>
            <w:pPr>
              <w:pStyle w:val="Compact"/>
              <w:jc w:val="left"/>
            </w:pPr>
            <w:r>
              <w:t xml:space="preserve">Médiane</w:t>
            </w:r>
          </w:p>
        </w:tc>
        <w:tc>
          <w:tcPr/>
          <w:p>
            <w:pPr>
              <w:pStyle w:val="Compact"/>
              <w:jc w:val="right"/>
            </w:pPr>
            <w:r>
              <w:t xml:space="preserve">2,00</w:t>
            </w:r>
          </w:p>
        </w:tc>
      </w:tr>
      <w:tr>
        <w:tc>
          <w:tcPr/>
          <w:p>
            <w:pPr>
              <w:pStyle w:val="Compact"/>
              <w:jc w:val="left"/>
            </w:pPr>
            <w:r>
              <w:t xml:space="preserve">Écart-type</w:t>
            </w:r>
          </w:p>
        </w:tc>
        <w:tc>
          <w:tcPr/>
          <w:p>
            <w:pPr>
              <w:pStyle w:val="Compact"/>
              <w:jc w:val="right"/>
            </w:pPr>
            <w:r>
              <w:t xml:space="preserve">1,61</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Maximum</w:t>
            </w:r>
          </w:p>
        </w:tc>
        <w:tc>
          <w:tcPr/>
          <w:p>
            <w:pPr>
              <w:pStyle w:val="Compact"/>
              <w:jc w:val="right"/>
            </w:pPr>
            <w:r>
              <w:t xml:space="preserve">9</w:t>
            </w:r>
          </w:p>
        </w:tc>
      </w:tr>
    </w:tbl>
    <w:p>
      <w:pPr>
        <w:pStyle w:val="BodyText"/>
      </w:pPr>
    </w:p>
    <w:p>
      <w:pPr>
        <w:pStyle w:val="BodyText"/>
      </w:pPr>
      <w:r>
        <w:rPr>
          <w:b/>
          <w:bCs/>
        </w:rPr>
        <w:t xml:space="preserve">Tableau 4.17 : Répartition des PVVIH selon l’Observance globale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 observant</w:t>
            </w:r>
          </w:p>
        </w:tc>
        <w:tc>
          <w:tcPr/>
          <w:p>
            <w:pPr>
              <w:pStyle w:val="Compact"/>
              <w:jc w:val="right"/>
            </w:pPr>
            <w:r>
              <w:t xml:space="preserve">60</w:t>
            </w:r>
          </w:p>
        </w:tc>
        <w:tc>
          <w:tcPr/>
          <w:p>
            <w:pPr>
              <w:pStyle w:val="Compact"/>
              <w:jc w:val="right"/>
            </w:pPr>
            <w:r>
              <w:t xml:space="preserve">28,2 %</w:t>
            </w:r>
          </w:p>
        </w:tc>
      </w:tr>
      <w:tr>
        <w:tc>
          <w:tcPr/>
          <w:p>
            <w:pPr>
              <w:pStyle w:val="Compact"/>
              <w:jc w:val="left"/>
            </w:pPr>
            <w:r>
              <w:t xml:space="preserve">Observant</w:t>
            </w:r>
          </w:p>
        </w:tc>
        <w:tc>
          <w:tcPr/>
          <w:p>
            <w:pPr>
              <w:pStyle w:val="Compact"/>
              <w:jc w:val="right"/>
            </w:pPr>
            <w:r>
              <w:t xml:space="preserve">153</w:t>
            </w:r>
          </w:p>
        </w:tc>
        <w:tc>
          <w:tcPr/>
          <w:p>
            <w:pPr>
              <w:pStyle w:val="Compact"/>
              <w:jc w:val="right"/>
            </w:pPr>
            <w:r>
              <w:t xml:space="preserve">71,8 %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36"/>
    <w:bookmarkStart w:id="37" w:name="Xa412057444861bbbda41ae99bd5228861bfce33"/>
    <w:p>
      <w:pPr>
        <w:pStyle w:val="Heading2"/>
      </w:pPr>
      <w:r>
        <w:rPr>
          <w:rStyle w:val="SectionNumber"/>
        </w:rPr>
        <w:t xml:space="preserve">5.4</w:t>
      </w:r>
      <w:r>
        <w:tab/>
      </w:r>
      <w:r>
        <w:t xml:space="preserve">Raisons des oublis ou irrégularités au cours des 12 derniers mois liées à la stigmatisation</w:t>
      </w:r>
    </w:p>
    <w:p>
      <w:pPr>
        <w:pStyle w:val="FirstParagraph"/>
      </w:pPr>
      <w:r>
        <w:rPr>
          <w:b/>
          <w:bCs/>
        </w:rPr>
        <w:t xml:space="preserve">Tableau 4.18 : Répartition des PVVIH craignant que quelqu’un découvre leur statut VIH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64</w:t>
            </w:r>
          </w:p>
        </w:tc>
        <w:tc>
          <w:tcPr/>
          <w:p>
            <w:pPr>
              <w:pStyle w:val="Compact"/>
              <w:jc w:val="right"/>
            </w:pPr>
            <w:r>
              <w:t xml:space="preserve">30,0 %</w:t>
            </w:r>
          </w:p>
        </w:tc>
      </w:tr>
      <w:tr>
        <w:tc>
          <w:tcPr/>
          <w:p>
            <w:pPr>
              <w:pStyle w:val="Compact"/>
              <w:jc w:val="left"/>
            </w:pPr>
            <w:r>
              <w:t xml:space="preserve">Oui</w:t>
            </w:r>
          </w:p>
        </w:tc>
        <w:tc>
          <w:tcPr/>
          <w:p>
            <w:pPr>
              <w:pStyle w:val="Compact"/>
              <w:jc w:val="right"/>
            </w:pPr>
            <w:r>
              <w:t xml:space="preserve">149</w:t>
            </w:r>
          </w:p>
        </w:tc>
        <w:tc>
          <w:tcPr/>
          <w:p>
            <w:pPr>
              <w:pStyle w:val="Compact"/>
              <w:jc w:val="right"/>
            </w:pPr>
            <w:r>
              <w:t xml:space="preserve">70,0 %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 Raison 1: Crainte professionnels santé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148</w:t>
            </w:r>
          </w:p>
        </w:tc>
        <w:tc>
          <w:tcPr/>
          <w:p>
            <w:pPr>
              <w:pStyle w:val="Compact"/>
              <w:jc w:val="right"/>
            </w:pPr>
            <w:r>
              <w:t xml:space="preserve">69,5 %</w:t>
            </w:r>
          </w:p>
        </w:tc>
      </w:tr>
      <w:tr>
        <w:tc>
          <w:tcPr/>
          <w:p>
            <w:pPr>
              <w:pStyle w:val="Compact"/>
              <w:jc w:val="left"/>
            </w:pPr>
            <w:r>
              <w:t xml:space="preserve">Oui</w:t>
            </w:r>
          </w:p>
        </w:tc>
        <w:tc>
          <w:tcPr/>
          <w:p>
            <w:pPr>
              <w:pStyle w:val="Compact"/>
              <w:jc w:val="right"/>
            </w:pPr>
            <w:r>
              <w:t xml:space="preserve">65</w:t>
            </w:r>
          </w:p>
        </w:tc>
        <w:tc>
          <w:tcPr/>
          <w:p>
            <w:pPr>
              <w:pStyle w:val="Compact"/>
              <w:jc w:val="right"/>
            </w:pPr>
            <w:r>
              <w:t xml:space="preserve">30,5 %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4.20 : Répartition des PVVIH qui ont accusé un refus de traitement contre le VIH en raison de leur consommation actuelle de drogue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212</w:t>
            </w:r>
          </w:p>
        </w:tc>
        <w:tc>
          <w:tcPr/>
          <w:p>
            <w:pPr>
              <w:pStyle w:val="Compact"/>
              <w:jc w:val="right"/>
            </w:pPr>
            <w:r>
              <w:t xml:space="preserve">99,5 %</w:t>
            </w:r>
          </w:p>
        </w:tc>
      </w:tr>
      <w:tr>
        <w:tc>
          <w:tcPr/>
          <w:p>
            <w:pPr>
              <w:pStyle w:val="Compact"/>
              <w:jc w:val="left"/>
            </w:pPr>
            <w:r>
              <w:t xml:space="preserve">Oui</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4.21 : Répartition des PVVIH estimant ne pas être prêts à faire face à leur infection VIH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194</w:t>
            </w:r>
          </w:p>
        </w:tc>
        <w:tc>
          <w:tcPr/>
          <w:p>
            <w:pPr>
              <w:pStyle w:val="Compact"/>
              <w:jc w:val="right"/>
            </w:pPr>
            <w:r>
              <w:t xml:space="preserve">91,1 %</w:t>
            </w:r>
          </w:p>
        </w:tc>
      </w:tr>
      <w:tr>
        <w:tc>
          <w:tcPr/>
          <w:p>
            <w:pPr>
              <w:pStyle w:val="Compact"/>
              <w:jc w:val="left"/>
            </w:pPr>
            <w:r>
              <w:t xml:space="preserve">Oui</w:t>
            </w:r>
          </w:p>
        </w:tc>
        <w:tc>
          <w:tcPr/>
          <w:p>
            <w:pPr>
              <w:pStyle w:val="Compact"/>
              <w:jc w:val="right"/>
            </w:pPr>
            <w:r>
              <w:t xml:space="preserve">19</w:t>
            </w:r>
          </w:p>
        </w:tc>
        <w:tc>
          <w:tcPr/>
          <w:p>
            <w:pPr>
              <w:pStyle w:val="Compact"/>
              <w:jc w:val="right"/>
            </w:pPr>
            <w:r>
              <w:t xml:space="preserve">8,9 %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37"/>
    <w:bookmarkStart w:id="38" w:name="X6e5c3dc8808a9ca14f598cdbb2de777893220ef"/>
    <w:p>
      <w:pPr>
        <w:pStyle w:val="Heading2"/>
      </w:pPr>
      <w:r>
        <w:rPr>
          <w:rStyle w:val="SectionNumber"/>
        </w:rPr>
        <w:t xml:space="preserve">5.5</w:t>
      </w:r>
      <w:r>
        <w:tab/>
      </w:r>
      <w:r>
        <w:t xml:space="preserve">Raisons des oublis ou irrégularités au cours des 12 derniers mois non liées à la stigmatisation</w:t>
      </w:r>
    </w:p>
    <w:p>
      <w:pPr>
        <w:pStyle w:val="FirstParagraph"/>
      </w:pPr>
      <w:r>
        <w:rPr>
          <w:b/>
          <w:bCs/>
        </w:rPr>
        <w:t xml:space="preserve">Tableau 4.22 : Répartition des PVVIH ayant présenté des effets secondaires qui ont influencé leur capacité à prendre leurs médicaments au cours des 6 derniers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202</w:t>
            </w:r>
          </w:p>
        </w:tc>
        <w:tc>
          <w:tcPr/>
          <w:p>
            <w:pPr>
              <w:pStyle w:val="Compact"/>
              <w:jc w:val="right"/>
            </w:pPr>
            <w:r>
              <w:t xml:space="preserve">94,8 %</w:t>
            </w:r>
          </w:p>
        </w:tc>
      </w:tr>
      <w:tr>
        <w:tc>
          <w:tcPr/>
          <w:p>
            <w:pPr>
              <w:pStyle w:val="Compact"/>
              <w:jc w:val="left"/>
            </w:pPr>
            <w:r>
              <w:t xml:space="preserve">Oui</w:t>
            </w:r>
          </w:p>
        </w:tc>
        <w:tc>
          <w:tcPr/>
          <w:p>
            <w:pPr>
              <w:pStyle w:val="Compact"/>
              <w:jc w:val="right"/>
            </w:pPr>
            <w:r>
              <w:t xml:space="preserve">11</w:t>
            </w:r>
          </w:p>
        </w:tc>
        <w:tc>
          <w:tcPr/>
          <w:p>
            <w:pPr>
              <w:pStyle w:val="Compact"/>
              <w:jc w:val="right"/>
            </w:pPr>
            <w:r>
              <w:t xml:space="preserve">5,2 %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4.23 : Répartition des PVVIH ayant présenté des difficultés d’approvisionnement en ARV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209</w:t>
            </w:r>
          </w:p>
        </w:tc>
        <w:tc>
          <w:tcPr/>
          <w:p>
            <w:pPr>
              <w:pStyle w:val="Compact"/>
              <w:jc w:val="right"/>
            </w:pPr>
            <w:r>
              <w:t xml:space="preserve">98,1 %</w:t>
            </w:r>
          </w:p>
        </w:tc>
      </w:tr>
      <w:tr>
        <w:tc>
          <w:tcPr/>
          <w:p>
            <w:pPr>
              <w:pStyle w:val="Compact"/>
              <w:jc w:val="left"/>
            </w:pPr>
            <w:r>
              <w:t xml:space="preserve">Oui</w:t>
            </w:r>
          </w:p>
        </w:tc>
        <w:tc>
          <w:tcPr/>
          <w:p>
            <w:pPr>
              <w:pStyle w:val="Compact"/>
              <w:jc w:val="right"/>
            </w:pPr>
            <w:r>
              <w:t xml:space="preserve">4</w:t>
            </w:r>
          </w:p>
        </w:tc>
        <w:tc>
          <w:tcPr/>
          <w:p>
            <w:pPr>
              <w:pStyle w:val="Compact"/>
              <w:jc w:val="right"/>
            </w:pPr>
            <w:r>
              <w:t xml:space="preserve">1,9 %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4.24 : Répartition des PVVIH manifestant des oublis sans raison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165</w:t>
            </w:r>
          </w:p>
        </w:tc>
        <w:tc>
          <w:tcPr/>
          <w:p>
            <w:pPr>
              <w:pStyle w:val="Compact"/>
              <w:jc w:val="right"/>
            </w:pPr>
            <w:r>
              <w:t xml:space="preserve">77,5 %</w:t>
            </w:r>
          </w:p>
        </w:tc>
      </w:tr>
      <w:tr>
        <w:tc>
          <w:tcPr/>
          <w:p>
            <w:pPr>
              <w:pStyle w:val="Compact"/>
              <w:jc w:val="left"/>
            </w:pPr>
            <w:r>
              <w:t xml:space="preserve">Oui</w:t>
            </w:r>
          </w:p>
        </w:tc>
        <w:tc>
          <w:tcPr/>
          <w:p>
            <w:pPr>
              <w:pStyle w:val="Compact"/>
              <w:jc w:val="right"/>
            </w:pPr>
            <w:r>
              <w:t xml:space="preserve">48</w:t>
            </w:r>
          </w:p>
        </w:tc>
        <w:tc>
          <w:tcPr/>
          <w:p>
            <w:pPr>
              <w:pStyle w:val="Compact"/>
              <w:jc w:val="right"/>
            </w:pPr>
            <w:r>
              <w:t xml:space="preserve">22,5 %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4.25 : Répartition des PVVIH manquant d’informations sur leur traitement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202</w:t>
            </w:r>
          </w:p>
        </w:tc>
        <w:tc>
          <w:tcPr/>
          <w:p>
            <w:pPr>
              <w:pStyle w:val="Compact"/>
              <w:jc w:val="right"/>
            </w:pPr>
            <w:r>
              <w:t xml:space="preserve">94,8 %</w:t>
            </w:r>
          </w:p>
        </w:tc>
      </w:tr>
      <w:tr>
        <w:tc>
          <w:tcPr/>
          <w:p>
            <w:pPr>
              <w:pStyle w:val="Compact"/>
              <w:jc w:val="left"/>
            </w:pPr>
            <w:r>
              <w:t xml:space="preserve">Oui</w:t>
            </w:r>
          </w:p>
        </w:tc>
        <w:tc>
          <w:tcPr/>
          <w:p>
            <w:pPr>
              <w:pStyle w:val="Compact"/>
              <w:jc w:val="right"/>
            </w:pPr>
            <w:r>
              <w:t xml:space="preserve">11</w:t>
            </w:r>
          </w:p>
        </w:tc>
        <w:tc>
          <w:tcPr/>
          <w:p>
            <w:pPr>
              <w:pStyle w:val="Compact"/>
              <w:jc w:val="right"/>
            </w:pPr>
            <w:r>
              <w:t xml:space="preserve">5,2 %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4.26 : Répartition des PVVIH présentant des difficultés liées à la distance ou à d’accès au centre de traitement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185</w:t>
            </w:r>
          </w:p>
        </w:tc>
        <w:tc>
          <w:tcPr/>
          <w:p>
            <w:pPr>
              <w:pStyle w:val="Compact"/>
              <w:jc w:val="right"/>
            </w:pPr>
            <w:r>
              <w:t xml:space="preserve">86,9 %</w:t>
            </w:r>
          </w:p>
        </w:tc>
      </w:tr>
      <w:tr>
        <w:tc>
          <w:tcPr/>
          <w:p>
            <w:pPr>
              <w:pStyle w:val="Compact"/>
              <w:jc w:val="left"/>
            </w:pPr>
            <w:r>
              <w:t xml:space="preserve">Oui</w:t>
            </w:r>
          </w:p>
        </w:tc>
        <w:tc>
          <w:tcPr/>
          <w:p>
            <w:pPr>
              <w:pStyle w:val="Compact"/>
              <w:jc w:val="right"/>
            </w:pPr>
            <w:r>
              <w:t xml:space="preserve">28</w:t>
            </w:r>
          </w:p>
        </w:tc>
        <w:tc>
          <w:tcPr/>
          <w:p>
            <w:pPr>
              <w:pStyle w:val="Compact"/>
              <w:jc w:val="right"/>
            </w:pPr>
            <w:r>
              <w:t xml:space="preserve">13,1 %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4.27 : Répartition des PVVIH présentant des facteurs psychologiques et émotionnels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180</w:t>
            </w:r>
          </w:p>
        </w:tc>
        <w:tc>
          <w:tcPr/>
          <w:p>
            <w:pPr>
              <w:pStyle w:val="Compact"/>
              <w:jc w:val="right"/>
            </w:pPr>
            <w:r>
              <w:t xml:space="preserve">84,5 %</w:t>
            </w:r>
          </w:p>
        </w:tc>
      </w:tr>
      <w:tr>
        <w:tc>
          <w:tcPr/>
          <w:p>
            <w:pPr>
              <w:pStyle w:val="Compact"/>
              <w:jc w:val="left"/>
            </w:pPr>
            <w:r>
              <w:t xml:space="preserve">Oui</w:t>
            </w:r>
          </w:p>
        </w:tc>
        <w:tc>
          <w:tcPr/>
          <w:p>
            <w:pPr>
              <w:pStyle w:val="Compact"/>
              <w:jc w:val="right"/>
            </w:pPr>
            <w:r>
              <w:t xml:space="preserve">33</w:t>
            </w:r>
          </w:p>
        </w:tc>
        <w:tc>
          <w:tcPr/>
          <w:p>
            <w:pPr>
              <w:pStyle w:val="Compact"/>
              <w:jc w:val="right"/>
            </w:pPr>
            <w:r>
              <w:t xml:space="preserve">15,5 %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4.28 : Répartition des PVVIH estimant avoir trop de comprimés ou de gélules à prendre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jc w:val="left"/>
            </w:pPr>
            <w:r>
              <w:t xml:space="preserve">Non</w:t>
            </w:r>
          </w:p>
        </w:tc>
        <w:tc>
          <w:tcPr/>
          <w:p>
            <w:pPr>
              <w:pStyle w:val="Compact"/>
              <w:jc w:val="right"/>
            </w:pPr>
            <w:r>
              <w:t xml:space="preserve">203</w:t>
            </w:r>
          </w:p>
        </w:tc>
        <w:tc>
          <w:tcPr/>
          <w:p>
            <w:pPr>
              <w:pStyle w:val="Compact"/>
              <w:jc w:val="right"/>
            </w:pPr>
            <w:r>
              <w:t xml:space="preserve">95,3 %</w:t>
            </w:r>
          </w:p>
        </w:tc>
      </w:tr>
      <w:tr>
        <w:tc>
          <w:tcPr/>
          <w:p>
            <w:pPr>
              <w:pStyle w:val="Compact"/>
              <w:jc w:val="left"/>
            </w:pPr>
            <w:r>
              <w:t xml:space="preserve">Oui</w:t>
            </w:r>
          </w:p>
        </w:tc>
        <w:tc>
          <w:tcPr/>
          <w:p>
            <w:pPr>
              <w:pStyle w:val="Compact"/>
              <w:jc w:val="right"/>
            </w:pPr>
            <w:r>
              <w:t xml:space="preserve">10</w:t>
            </w:r>
          </w:p>
        </w:tc>
        <w:tc>
          <w:tcPr/>
          <w:p>
            <w:pPr>
              <w:pStyle w:val="Compact"/>
              <w:jc w:val="right"/>
            </w:pPr>
            <w:r>
              <w:t xml:space="preserve">4,7 %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p>
      <w:pPr>
        <w:pStyle w:val="BodyText"/>
      </w:pPr>
      <w:r>
        <w:rPr>
          <w:b/>
          <w:bCs/>
        </w:rPr>
        <w:t xml:space="preserve">Tableau 4.29 : Liste des autres raisons d’oublis ou irrégularités au cours des 12 derniers mois</w:t>
      </w:r>
    </w:p>
    <w:tbl>
      <w:tblPr>
        <w:tblStyle w:val="Table"/>
        <w:tblW w:type="pct" w:w="5000"/>
        <w:tblLayout w:type="fixed"/>
        <w:tblLook w:firstRow="1" w:lastRow="0" w:firstColumn="0" w:lastColumn="0" w:noHBand="0" w:noVBand="0" w:val="0020"/>
      </w:tblPr>
      <w:tblGrid>
        <w:gridCol w:w="6964"/>
        <w:gridCol w:w="409"/>
        <w:gridCol w:w="546"/>
      </w:tblGrid>
      <w:tr>
        <w:trPr>
          <w:tblHeader w:val="on"/>
        </w:trPr>
        <w:tc>
          <w:tcPr/>
          <w:p>
            <w:pPr>
              <w:pStyle w:val="Compact"/>
              <w:jc w:val="left"/>
            </w:pPr>
            <w:r>
              <w:t xml:space="preserve">Modalité</w:t>
            </w:r>
          </w:p>
        </w:tc>
        <w:tc>
          <w:tcPr/>
          <w:p>
            <w:pPr>
              <w:pStyle w:val="Compact"/>
              <w:jc w:val="right"/>
            </w:pPr>
            <w:r>
              <w:t xml:space="preserve">Effectif</w:t>
            </w:r>
          </w:p>
        </w:tc>
        <w:tc>
          <w:tcPr/>
          <w:p>
            <w:pPr>
              <w:pStyle w:val="Compact"/>
              <w:jc w:val="right"/>
            </w:pPr>
            <w:r>
              <w:t xml:space="preserve">Pourcentage</w:t>
            </w:r>
          </w:p>
        </w:tc>
      </w:tr>
      <w:tr>
        <w:tc>
          <w:tcPr/>
          <w:p>
            <w:pPr>
              <w:pStyle w:val="Compact"/>
            </w:pPr>
          </w:p>
        </w:tc>
        <w:tc>
          <w:tcPr/>
          <w:p>
            <w:pPr>
              <w:pStyle w:val="Compact"/>
              <w:jc w:val="right"/>
            </w:pPr>
            <w:r>
              <w:t xml:space="preserve">118</w:t>
            </w:r>
          </w:p>
        </w:tc>
        <w:tc>
          <w:tcPr/>
          <w:p>
            <w:pPr>
              <w:pStyle w:val="Compact"/>
              <w:jc w:val="right"/>
            </w:pPr>
            <w:r>
              <w:t xml:space="preserve">55,4 %</w:t>
            </w:r>
          </w:p>
        </w:tc>
      </w:tr>
      <w:tr>
        <w:tc>
          <w:tcPr/>
          <w:p>
            <w:pPr>
              <w:pStyle w:val="Compact"/>
              <w:jc w:val="left"/>
            </w:pPr>
            <w:r>
              <w:t xml:space="preserve">Au cours d’un voyage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Aucun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Aucune raison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Dispute avec mon conjoint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Je vis de façon positive avec le vih</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NA</w:t>
            </w:r>
          </w:p>
        </w:tc>
        <w:tc>
          <w:tcPr/>
          <w:p>
            <w:pPr>
              <w:pStyle w:val="Compact"/>
              <w:jc w:val="right"/>
            </w:pPr>
            <w:r>
              <w:t xml:space="preserve">7</w:t>
            </w:r>
          </w:p>
        </w:tc>
        <w:tc>
          <w:tcPr/>
          <w:p>
            <w:pPr>
              <w:pStyle w:val="Compact"/>
              <w:jc w:val="right"/>
            </w:pPr>
            <w:r>
              <w:t xml:space="preserve">3,3 %</w:t>
            </w:r>
          </w:p>
        </w:tc>
      </w:tr>
      <w:tr>
        <w:tc>
          <w:tcPr/>
          <w:p>
            <w:pPr>
              <w:pStyle w:val="Compact"/>
              <w:jc w:val="left"/>
            </w:pPr>
            <w:r>
              <w:t xml:space="preserve">NON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Non</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RAS</w:t>
            </w:r>
          </w:p>
        </w:tc>
        <w:tc>
          <w:tcPr/>
          <w:p>
            <w:pPr>
              <w:pStyle w:val="Compact"/>
              <w:jc w:val="right"/>
            </w:pPr>
            <w:r>
              <w:t xml:space="preserve">4</w:t>
            </w:r>
          </w:p>
        </w:tc>
        <w:tc>
          <w:tcPr/>
          <w:p>
            <w:pPr>
              <w:pStyle w:val="Compact"/>
              <w:jc w:val="right"/>
            </w:pPr>
            <w:r>
              <w:t xml:space="preserve">1,9 %</w:t>
            </w:r>
          </w:p>
        </w:tc>
      </w:tr>
      <w:tr>
        <w:tc>
          <w:tcPr/>
          <w:p>
            <w:pPr>
              <w:pStyle w:val="Compact"/>
              <w:jc w:val="left"/>
            </w:pPr>
            <w:r>
              <w:t xml:space="preserve">Ras</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au cours des missions ça m’arrive d’oublier de prendre mon traitement, mais pas au delà de 02 jours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aucun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aucune raison d’oubli</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aucune autre raison</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aucune raison</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cause de fatigue liée a mon travail</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causerie pendant le travail</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comme obstacle pour le moment de la prise a l’heure, c’est le travail</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deplacement mobile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elle a des problèmes financiers sérieux</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en mission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fatigue je ne mange pas bien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faute de moyens de transport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il n’y a pas de raison car tout le monde oublie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j’étais au funérailles de mon père au village losque mes médicaments sont village, nous avons un problème de réseau au village et l’accès tres difficile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je n’ai jamais oublié de prendre les arv</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je n’arrive pas a prendre car les médicaments sont trop gros et puis souvent losque je travail j’oublie de prendre même quand mon téléphone sonne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je n’oublie pas de prendre mes médicament depuis j’ai commencé le traitement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je prends le traitement ces douze derniers mois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je suis fatigué de prendre toujours les médicaments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l’ecart des heures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l’heure de prise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la boisson</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la fatigue</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la fatigue apres beaucoup deffort de travaux…je prends mes ARV la nuit.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la fatigue dû à mes activités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la sonnerie de mon téléphone n’est pas forte car le téléphone est elle même ainsi on ne peut augmenter le volume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le patient n’arrive pas, a respecté a cause de son travail</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le patient n’est pas observant car il ne prend pas les ARV aux horaires habituels a cas du travail ( il est pompier et toujours en intervention)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le temps et l’apparition des boutons sur le corps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le temps et la fatigue,les pensées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le travail</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les stages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lorsqu’il est ivre il oublie de prendre son médicament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manques de nourriture souvent</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mission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mon conjoint n’est pas informé de mon statut.Quand il est là je ne peux pas prendre mes ARV</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non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oubli de l’heure, par rapport à mes occupations quotidiennes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oubli pour raison de surcharge professionnel</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oubli,funerailles prolongés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parfois aller travailler sur les chantiers en brousse. on retourne souvent tardivement en ville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pas d’autres raisons au cours des 12 dernier mois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pas d’oubli</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pas de raison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pas de raisons j’ai une alarme pour me rappeler l’heure de la prise de mes arv</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pas doubli</w:t>
            </w:r>
          </w:p>
        </w:tc>
        <w:tc>
          <w:tcPr/>
          <w:p>
            <w:pPr>
              <w:pStyle w:val="Compact"/>
              <w:jc w:val="right"/>
            </w:pPr>
            <w:r>
              <w:t xml:space="preserve">3</w:t>
            </w:r>
          </w:p>
        </w:tc>
        <w:tc>
          <w:tcPr/>
          <w:p>
            <w:pPr>
              <w:pStyle w:val="Compact"/>
              <w:jc w:val="right"/>
            </w:pPr>
            <w:r>
              <w:t xml:space="preserve">1,4 %</w:t>
            </w:r>
          </w:p>
        </w:tc>
      </w:tr>
      <w:tr>
        <w:tc>
          <w:tcPr/>
          <w:p>
            <w:pPr>
              <w:pStyle w:val="Compact"/>
              <w:jc w:val="left"/>
            </w:pPr>
            <w:r>
              <w:t xml:space="preserve">pendant les missions jai honte de prendre devant mes collègues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peut lors d’un voyage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quand le portable a été volé, j’avais eu un problème de réveil.</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ras</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rien a signaler</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rien ne peut me faire oublier de prendre mes médicaments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souvent en déplacement dans les villages pour le commerce. lorsqu’il ya problème de véhicule retour.</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souvent en mission</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trop de charges domestiques suite a l’accouchement de ma fille</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voyage allongé</w:t>
            </w:r>
          </w:p>
        </w:tc>
        <w:tc>
          <w:tcPr/>
          <w:p>
            <w:pPr>
              <w:pStyle w:val="Compact"/>
              <w:jc w:val="right"/>
            </w:pPr>
            <w:r>
              <w:t xml:space="preserve">2</w:t>
            </w:r>
          </w:p>
        </w:tc>
        <w:tc>
          <w:tcPr/>
          <w:p>
            <w:pPr>
              <w:pStyle w:val="Compact"/>
              <w:jc w:val="right"/>
            </w:pPr>
            <w:r>
              <w:t xml:space="preserve">0,9 %</w:t>
            </w:r>
          </w:p>
        </w:tc>
      </w:tr>
      <w:tr>
        <w:tc>
          <w:tcPr/>
          <w:p>
            <w:pPr>
              <w:pStyle w:val="Compact"/>
              <w:jc w:val="left"/>
            </w:pPr>
            <w:r>
              <w:t xml:space="preserve">voyage pour aller chercher les marchandises</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voyage précipité</w:t>
            </w:r>
          </w:p>
        </w:tc>
        <w:tc>
          <w:tcPr/>
          <w:p>
            <w:pPr>
              <w:pStyle w:val="Compact"/>
              <w:jc w:val="right"/>
            </w:pPr>
            <w:r>
              <w:t xml:space="preserve">1</w:t>
            </w:r>
          </w:p>
        </w:tc>
        <w:tc>
          <w:tcPr/>
          <w:p>
            <w:pPr>
              <w:pStyle w:val="Compact"/>
              <w:jc w:val="right"/>
            </w:pPr>
            <w:r>
              <w:t xml:space="preserve">0,5 %</w:t>
            </w:r>
          </w:p>
        </w:tc>
      </w:tr>
      <w:tr>
        <w:tc>
          <w:tcPr/>
          <w:p>
            <w:pPr>
              <w:pStyle w:val="Compact"/>
              <w:jc w:val="left"/>
            </w:pPr>
            <w:r>
              <w:t xml:space="preserve">étant en voyage,la peur que quelqu’un voit avec quelle</w:t>
            </w:r>
          </w:p>
        </w:tc>
        <w:tc>
          <w:tcPr/>
          <w:p>
            <w:pPr>
              <w:pStyle w:val="Compact"/>
              <w:jc w:val="right"/>
            </w:pPr>
            <w:r>
              <w:t xml:space="preserve">1</w:t>
            </w:r>
          </w:p>
        </w:tc>
        <w:tc>
          <w:tcPr/>
          <w:p>
            <w:pPr>
              <w:pStyle w:val="Compact"/>
              <w:jc w:val="right"/>
            </w:pPr>
            <w:r>
              <w:t xml:space="preserve">0,5 %</w:t>
            </w:r>
          </w:p>
        </w:tc>
      </w:tr>
      <w:tr>
        <w:tc>
          <w:tcPr/>
          <w:p>
            <w:pPr>
              <w:pStyle w:val="Compact"/>
              <w:jc w:val="left"/>
            </w:pPr>
            <w:r>
              <w:rPr>
                <w:b/>
                <w:bCs/>
              </w:rPr>
              <w:t xml:space="preserve">TOTAL</w:t>
            </w:r>
          </w:p>
        </w:tc>
        <w:tc>
          <w:tcPr/>
          <w:p>
            <w:pPr>
              <w:pStyle w:val="Compact"/>
              <w:jc w:val="right"/>
            </w:pPr>
            <w:r>
              <w:t xml:space="preserve">213</w:t>
            </w:r>
          </w:p>
        </w:tc>
        <w:tc>
          <w:tcPr/>
          <w:p>
            <w:pPr>
              <w:pStyle w:val="Compact"/>
              <w:jc w:val="right"/>
            </w:pPr>
            <w:r>
              <w:rPr>
                <w:b/>
                <w:bCs/>
              </w:rPr>
              <w:t xml:space="preserve">100,0 %</w:t>
            </w:r>
          </w:p>
        </w:tc>
      </w:tr>
    </w:tbl>
    <w:p>
      <w:pPr>
        <w:pStyle w:val="BodyText"/>
      </w:pPr>
    </w:p>
    <w:bookmarkEnd w:id="38"/>
    <w:bookmarkEnd w:id="39"/>
    <w:bookmarkStart w:id="46" w:name="synthèse-générale"/>
    <w:p>
      <w:pPr>
        <w:pStyle w:val="Heading1"/>
      </w:pPr>
      <w:r>
        <w:rPr>
          <w:rStyle w:val="SectionNumber"/>
        </w:rPr>
        <w:t xml:space="preserve">6</w:t>
      </w:r>
      <w:r>
        <w:tab/>
      </w:r>
      <w:r>
        <w:t xml:space="preserve">Synthèse générale</w:t>
      </w:r>
    </w:p>
    <w:p>
      <w:pPr>
        <w:pStyle w:val="FirstParagraph"/>
      </w:pPr>
      <w:r>
        <w:rPr>
          <w:b/>
          <w:bCs/>
        </w:rPr>
        <w:t xml:space="preserve">SYNTHÈSE GÉNÉRALE DE L’ENQUÊTE SELON LE PLAN D’ANALYSE</w:t>
      </w:r>
    </w:p>
    <w:bookmarkStart w:id="40" w:name="caractéristiques-de-léchantillon"/>
    <w:p>
      <w:pPr>
        <w:pStyle w:val="Heading2"/>
      </w:pPr>
      <w:r>
        <w:rPr>
          <w:rStyle w:val="SectionNumber"/>
        </w:rPr>
        <w:t xml:space="preserve">6.1</w:t>
      </w:r>
      <w:r>
        <w:tab/>
      </w:r>
      <w:r>
        <w:t xml:space="preserve">Caractéristiques de l’échantillon</w:t>
      </w:r>
    </w:p>
    <w:p>
      <w:pPr>
        <w:pStyle w:val="Compact"/>
        <w:numPr>
          <w:ilvl w:val="0"/>
          <w:numId w:val="1002"/>
        </w:numPr>
      </w:pPr>
      <w:r>
        <w:rPr>
          <w:b/>
          <w:bCs/>
        </w:rPr>
        <w:t xml:space="preserve">Nombre de participants :</w:t>
      </w:r>
      <w:r>
        <w:t xml:space="preserve"> </w:t>
      </w:r>
      <w:r>
        <w:t xml:space="preserve">213</w:t>
      </w:r>
    </w:p>
    <w:p>
      <w:pPr>
        <w:pStyle w:val="Compact"/>
        <w:numPr>
          <w:ilvl w:val="0"/>
          <w:numId w:val="1002"/>
        </w:numPr>
      </w:pPr>
      <w:r>
        <w:rPr>
          <w:b/>
          <w:bCs/>
        </w:rPr>
        <w:t xml:space="preserve">Nombre total de variables :</w:t>
      </w:r>
      <w:r>
        <w:t xml:space="preserve"> </w:t>
      </w:r>
      <w:r>
        <w:t xml:space="preserve">121</w:t>
      </w:r>
    </w:p>
    <w:p>
      <w:pPr>
        <w:pStyle w:val="Compact"/>
        <w:numPr>
          <w:ilvl w:val="0"/>
          <w:numId w:val="1002"/>
        </w:numPr>
      </w:pPr>
      <w:r>
        <w:rPr>
          <w:b/>
          <w:bCs/>
        </w:rPr>
        <w:t xml:space="preserve">Période de collecte :</w:t>
      </w:r>
      <w:r>
        <w:t xml:space="preserve"> </w:t>
      </w:r>
      <w:r>
        <w:t xml:space="preserve">Juillet à Octobre 2025</w:t>
      </w:r>
    </w:p>
    <w:bookmarkEnd w:id="40"/>
    <w:bookmarkStart w:id="41" w:name="section-1-profil-sociodémographique"/>
    <w:p>
      <w:pPr>
        <w:pStyle w:val="Heading2"/>
      </w:pPr>
      <w:r>
        <w:rPr>
          <w:rStyle w:val="SectionNumber"/>
        </w:rPr>
        <w:t xml:space="preserve">6.2</w:t>
      </w:r>
      <w:r>
        <w:tab/>
      </w:r>
      <w:r>
        <w:t xml:space="preserve">Section 1 : Profil sociodémographique</w:t>
      </w:r>
    </w:p>
    <w:p>
      <w:pPr>
        <w:pStyle w:val="Compact"/>
        <w:numPr>
          <w:ilvl w:val="0"/>
          <w:numId w:val="1003"/>
        </w:numPr>
      </w:pPr>
      <w:r>
        <w:rPr>
          <w:b/>
          <w:bCs/>
        </w:rPr>
        <w:t xml:space="preserve">Âge moyen :</w:t>
      </w:r>
      <w:r>
        <w:t xml:space="preserve"> </w:t>
      </w:r>
      <w:r>
        <w:t xml:space="preserve">46,9 ans</w:t>
      </w:r>
    </w:p>
    <w:p>
      <w:pPr>
        <w:pStyle w:val="Compact"/>
        <w:numPr>
          <w:ilvl w:val="0"/>
          <w:numId w:val="1003"/>
        </w:numPr>
      </w:pPr>
      <w:r>
        <w:rPr>
          <w:b/>
          <w:bCs/>
        </w:rPr>
        <w:t xml:space="preserve">Âge médian :</w:t>
      </w:r>
      <w:r>
        <w:t xml:space="preserve"> </w:t>
      </w:r>
      <w:r>
        <w:t xml:space="preserve">47,0 ans</w:t>
      </w:r>
    </w:p>
    <w:p>
      <w:pPr>
        <w:pStyle w:val="Compact"/>
        <w:numPr>
          <w:ilvl w:val="0"/>
          <w:numId w:val="1003"/>
        </w:numPr>
      </w:pPr>
      <w:r>
        <w:rPr>
          <w:b/>
          <w:bCs/>
        </w:rPr>
        <w:t xml:space="preserve">Proportion de femmes :</w:t>
      </w:r>
      <w:r>
        <w:t xml:space="preserve"> </w:t>
      </w:r>
      <w:r>
        <w:t xml:space="preserve">62,4 %</w:t>
      </w:r>
    </w:p>
    <w:p>
      <w:pPr>
        <w:pStyle w:val="Compact"/>
        <w:numPr>
          <w:ilvl w:val="0"/>
          <w:numId w:val="1003"/>
        </w:numPr>
      </w:pPr>
      <w:r>
        <w:rPr>
          <w:b/>
          <w:bCs/>
        </w:rPr>
        <w:t xml:space="preserve">Proportion d’hommes :</w:t>
      </w:r>
      <w:r>
        <w:t xml:space="preserve"> </w:t>
      </w:r>
      <w:r>
        <w:t xml:space="preserve">37,6 %</w:t>
      </w:r>
    </w:p>
    <w:p>
      <w:pPr>
        <w:pStyle w:val="Compact"/>
        <w:numPr>
          <w:ilvl w:val="0"/>
          <w:numId w:val="1003"/>
        </w:numPr>
      </w:pPr>
      <w:r>
        <w:rPr>
          <w:b/>
          <w:bCs/>
        </w:rPr>
        <w:t xml:space="preserve">Personnel civil :</w:t>
      </w:r>
      <w:r>
        <w:t xml:space="preserve"> </w:t>
      </w:r>
      <w:r>
        <w:t xml:space="preserve">83,1 %</w:t>
      </w:r>
    </w:p>
    <w:bookmarkEnd w:id="41"/>
    <w:bookmarkStart w:id="42" w:name="section-2-services-de-santé-et-dépistage"/>
    <w:p>
      <w:pPr>
        <w:pStyle w:val="Heading2"/>
      </w:pPr>
      <w:r>
        <w:rPr>
          <w:rStyle w:val="SectionNumber"/>
        </w:rPr>
        <w:t xml:space="preserve">6.3</w:t>
      </w:r>
      <w:r>
        <w:tab/>
      </w:r>
      <w:r>
        <w:t xml:space="preserve">Section 2 : Services de santé et dépistage</w:t>
      </w:r>
    </w:p>
    <w:p>
      <w:pPr>
        <w:pStyle w:val="Compact"/>
        <w:numPr>
          <w:ilvl w:val="0"/>
          <w:numId w:val="1004"/>
        </w:numPr>
      </w:pPr>
      <w:r>
        <w:rPr>
          <w:b/>
          <w:bCs/>
        </w:rPr>
        <w:t xml:space="preserve">Accès à la charge virale (12 derniers mois) :</w:t>
      </w:r>
      <w:r>
        <w:t xml:space="preserve"> </w:t>
      </w:r>
      <w:r>
        <w:t xml:space="preserve">68,5 %</w:t>
      </w:r>
    </w:p>
    <w:bookmarkEnd w:id="42"/>
    <w:bookmarkStart w:id="43" w:name="X15ee507b0232314bb93f58e61a76e41f365ad0c"/>
    <w:p>
      <w:pPr>
        <w:pStyle w:val="Heading2"/>
      </w:pPr>
      <w:r>
        <w:rPr>
          <w:rStyle w:val="SectionNumber"/>
        </w:rPr>
        <w:t xml:space="preserve">6.4</w:t>
      </w:r>
      <w:r>
        <w:tab/>
      </w:r>
      <w:r>
        <w:t xml:space="preserve">Section 3 : Stigmatisation et discrimination</w:t>
      </w:r>
    </w:p>
    <w:p>
      <w:pPr>
        <w:pStyle w:val="Compact"/>
        <w:numPr>
          <w:ilvl w:val="0"/>
          <w:numId w:val="1005"/>
        </w:numPr>
      </w:pPr>
      <w:r>
        <w:t xml:space="preserve">** Q26.01- Exclusion d’activités sociales :** 0,0 %</w:t>
      </w:r>
    </w:p>
    <w:p>
      <w:pPr>
        <w:pStyle w:val="Compact"/>
        <w:numPr>
          <w:ilvl w:val="0"/>
          <w:numId w:val="1005"/>
        </w:numPr>
      </w:pPr>
      <w:r>
        <w:t xml:space="preserve">** Q26.02- Exclusion d’activités religieuses :** 0,0 %</w:t>
      </w:r>
    </w:p>
    <w:p>
      <w:pPr>
        <w:pStyle w:val="Compact"/>
        <w:numPr>
          <w:ilvl w:val="0"/>
          <w:numId w:val="1005"/>
        </w:numPr>
      </w:pPr>
      <w:r>
        <w:t xml:space="preserve">** Q26.03- Exclusion d’activités familiales :** 0,0 %</w:t>
      </w:r>
    </w:p>
    <w:p>
      <w:pPr>
        <w:pStyle w:val="Compact"/>
        <w:numPr>
          <w:ilvl w:val="0"/>
          <w:numId w:val="1005"/>
        </w:numPr>
      </w:pPr>
      <w:r>
        <w:t xml:space="preserve">** Q27.1- Refus de services de santé :** 0,9 %</w:t>
      </w:r>
    </w:p>
    <w:p>
      <w:pPr>
        <w:pStyle w:val="Compact"/>
        <w:numPr>
          <w:ilvl w:val="0"/>
          <w:numId w:val="1005"/>
        </w:numPr>
      </w:pPr>
      <w:r>
        <w:t xml:space="preserve">** Q27.2- Conseil de ne pas avoir de relations sexuelles :** 1,9 %</w:t>
      </w:r>
    </w:p>
    <w:p>
      <w:pPr>
        <w:pStyle w:val="Compact"/>
        <w:numPr>
          <w:ilvl w:val="0"/>
          <w:numId w:val="1005"/>
        </w:numPr>
      </w:pPr>
      <w:r>
        <w:t xml:space="preserve">** Q27.3- Commérages à cause de la séropositivité :** 2,8 %</w:t>
      </w:r>
    </w:p>
    <w:bookmarkEnd w:id="43"/>
    <w:bookmarkStart w:id="44" w:name="section-4-traitement-et-observance"/>
    <w:p>
      <w:pPr>
        <w:pStyle w:val="Heading2"/>
      </w:pPr>
      <w:r>
        <w:rPr>
          <w:rStyle w:val="SectionNumber"/>
        </w:rPr>
        <w:t xml:space="preserve">6.5</w:t>
      </w:r>
      <w:r>
        <w:tab/>
      </w:r>
      <w:r>
        <w:t xml:space="preserve">Section 4 : Traitement et observance</w:t>
      </w:r>
    </w:p>
    <w:p>
      <w:pPr>
        <w:pStyle w:val="Compact"/>
        <w:numPr>
          <w:ilvl w:val="0"/>
          <w:numId w:val="1006"/>
        </w:numPr>
      </w:pPr>
      <w:r>
        <w:rPr>
          <w:b/>
          <w:bCs/>
        </w:rPr>
        <w:t xml:space="preserve">Durée moyenne de traitement :</w:t>
      </w:r>
      <w:r>
        <w:t xml:space="preserve"> </w:t>
      </w:r>
      <w:r>
        <w:t xml:space="preserve">103,4 mois</w:t>
      </w:r>
    </w:p>
    <w:p>
      <w:pPr>
        <w:pStyle w:val="Compact"/>
        <w:numPr>
          <w:ilvl w:val="0"/>
          <w:numId w:val="1006"/>
        </w:numPr>
      </w:pPr>
      <w:r>
        <w:rPr>
          <w:b/>
          <w:bCs/>
        </w:rPr>
        <w:t xml:space="preserve">Durée médiane :</w:t>
      </w:r>
      <w:r>
        <w:t xml:space="preserve"> </w:t>
      </w:r>
      <w:r>
        <w:t xml:space="preserve">81,7 mois</w:t>
      </w:r>
    </w:p>
    <w:p>
      <w:pPr>
        <w:pStyle w:val="Compact"/>
        <w:numPr>
          <w:ilvl w:val="0"/>
          <w:numId w:val="1006"/>
        </w:numPr>
      </w:pPr>
      <w:r>
        <w:rPr>
          <w:b/>
          <w:bCs/>
        </w:rPr>
        <w:t xml:space="preserve">Bonne observance globale :</w:t>
      </w:r>
      <w:r>
        <w:t xml:space="preserve"> </w:t>
      </w:r>
      <w:r>
        <w:t xml:space="preserve">0,0 %</w:t>
      </w:r>
    </w:p>
    <w:bookmarkEnd w:id="44"/>
    <w:bookmarkStart w:id="45" w:name="couverture-géographique"/>
    <w:p>
      <w:pPr>
        <w:pStyle w:val="Heading2"/>
      </w:pPr>
      <w:r>
        <w:rPr>
          <w:rStyle w:val="SectionNumber"/>
        </w:rPr>
        <w:t xml:space="preserve">6.6</w:t>
      </w:r>
      <w:r>
        <w:tab/>
      </w:r>
      <w:r>
        <w:t xml:space="preserve">Couverture géographique</w:t>
      </w:r>
    </w:p>
    <w:p>
      <w:pPr>
        <w:pStyle w:val="Compact"/>
        <w:numPr>
          <w:ilvl w:val="0"/>
          <w:numId w:val="1007"/>
        </w:numPr>
      </w:pPr>
      <w:r>
        <w:rPr>
          <w:b/>
          <w:bCs/>
        </w:rPr>
        <w:t xml:space="preserve">Nombre de régions représentées :</w:t>
      </w:r>
      <w:r>
        <w:t xml:space="preserve"> </w:t>
      </w:r>
      <w:r>
        <w:t xml:space="preserve">4</w:t>
      </w:r>
    </w:p>
    <w:p>
      <w:pPr>
        <w:pStyle w:val="Compact"/>
        <w:numPr>
          <w:ilvl w:val="0"/>
          <w:numId w:val="1007"/>
        </w:numPr>
      </w:pPr>
      <w:r>
        <w:rPr>
          <w:b/>
          <w:bCs/>
        </w:rPr>
        <w:t xml:space="preserve">Nombre de sites de collecte :</w:t>
      </w:r>
      <w:r>
        <w:t xml:space="preserve"> </w:t>
      </w:r>
      <w:r>
        <w:t xml:space="preserve">37</w:t>
      </w:r>
    </w:p>
    <w:p>
      <w:r>
        <w:pict>
          <v:rect style="width:0;height:1.5pt" o:hralign="center" o:hrstd="t" o:hr="t"/>
        </w:pict>
      </w:r>
    </w:p>
    <w:p>
      <w:pPr>
        <w:pStyle w:val="FirstParagraph"/>
      </w:pPr>
      <w:r>
        <w:rPr>
          <w:b/>
          <w:bCs/>
        </w:rPr>
        <w:t xml:space="preserve">NOTE MÉTHODOLOGIQUE :</w:t>
      </w:r>
      <w:r>
        <w:t xml:space="preserve"> </w:t>
      </w:r>
      <w:r>
        <w:t xml:space="preserve">Cette analyse suit rigoureusement le plan d’analyse officiel de l’enquête,</w:t>
      </w:r>
      <w:r>
        <w:t xml:space="preserve"> </w:t>
      </w:r>
      <w:r>
        <w:t xml:space="preserve">structurée en 4 sections principales :</w:t>
      </w:r>
      <w:r>
        <w:t xml:space="preserve"> </w:t>
      </w:r>
      <w:r>
        <w:t xml:space="preserve">1. Caractéristiques socio-démographiques</w:t>
      </w:r>
      <w:r>
        <w:t xml:space="preserve"> </w:t>
      </w:r>
      <w:r>
        <w:t xml:space="preserve">2. Interactions avec les services de soins de santé</w:t>
      </w:r>
      <w:r>
        <w:t xml:space="preserve"> </w:t>
      </w:r>
      <w:r>
        <w:t xml:space="preserve">3. Expérience de stigmatisation et de discrimination</w:t>
      </w:r>
      <w:r>
        <w:t xml:space="preserve"> </w:t>
      </w:r>
      <w:r>
        <w:t xml:space="preserve">4. Traitement et adhésion thérapeutique</w:t>
      </w:r>
    </w:p>
    <w:p>
      <w:pPr>
        <w:pStyle w:val="BodyText"/>
      </w:pPr>
      <w:r>
        <w:rPr>
          <w:i/>
          <w:iCs/>
        </w:rPr>
        <w:t xml:space="preserve">Rapport généré le 12/11/2025 par Dr YEBOUE Konan Maxime</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Descriptive Complète - Enquête Stigmatisation VIH/SIDA 2025</dc:title>
  <dc:creator>Forces Armées de Côte d’Ivoire</dc:creator>
  <cp:keywords/>
  <dcterms:created xsi:type="dcterms:W3CDTF">2025-11-12T23:46:07Z</dcterms:created>
  <dcterms:modified xsi:type="dcterms:W3CDTF">2025-11-12T23:46:07Z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2025-11-12</vt:lpwstr>
  </property>
  <property fmtid="{D5CDD505-2E9C-101B-9397-08002B2CF9AE}" pid="3" name="output">
    <vt:lpwstr/>
  </property>
  <property fmtid="{D5CDD505-2E9C-101B-9397-08002B2CF9AE}" pid="4" name="subtitle">
    <vt:lpwstr>Selon le Plan d’Analyse Officiel</vt:lpwstr>
  </property>
</Properties>
</file>