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76" w:rsidRPr="00626D76" w:rsidRDefault="00626D76" w:rsidP="00626D76">
      <w:pPr>
        <w:jc w:val="center"/>
        <w:rPr>
          <w:rFonts w:ascii="Monotype Corsiva" w:hAnsi="Monotype Corsiva"/>
          <w:b/>
          <w:i/>
          <w:sz w:val="36"/>
          <w:szCs w:val="36"/>
          <w:lang w:val="en-US"/>
        </w:rPr>
      </w:pPr>
      <w:r w:rsidRPr="00626D76">
        <w:rPr>
          <w:rFonts w:ascii="Monotype Corsiva" w:hAnsi="Monotype Corsiva"/>
          <w:b/>
          <w:i/>
          <w:sz w:val="36"/>
          <w:szCs w:val="36"/>
          <w:lang w:val="en-US"/>
        </w:rPr>
        <w:t>Result</w:t>
      </w:r>
      <w:r w:rsidR="005D0BF6">
        <w:rPr>
          <w:rFonts w:ascii="Monotype Corsiva" w:hAnsi="Monotype Corsiva"/>
          <w:b/>
          <w:i/>
          <w:sz w:val="36"/>
          <w:szCs w:val="36"/>
          <w:lang w:val="en-US"/>
        </w:rPr>
        <w:t>s</w:t>
      </w:r>
    </w:p>
    <w:p w:rsidR="005D0BF6" w:rsidRDefault="005D0BF6">
      <w:pPr>
        <w:rPr>
          <w:lang w:val="en-US"/>
        </w:rPr>
      </w:pPr>
    </w:p>
    <w:p w:rsidR="005D0BF6" w:rsidRDefault="005D0BF6" w:rsidP="00356FB3">
      <w:p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r w:rsidRPr="00356FB3">
        <w:rPr>
          <w:rFonts w:ascii="Times New Roman" w:hAnsi="Times New Roman" w:cs="Times New Roman"/>
          <w:lang w:val="en-US"/>
        </w:rPr>
        <w:t>In our calculations we use four methods</w:t>
      </w:r>
      <w:r w:rsidR="003C5B27" w:rsidRPr="00356FB3">
        <w:rPr>
          <w:rFonts w:ascii="Times New Roman" w:hAnsi="Times New Roman" w:cs="Times New Roman"/>
          <w:lang w:val="en-US"/>
        </w:rPr>
        <w:t xml:space="preserve"> of Machine learning</w:t>
      </w:r>
      <w:r w:rsidRPr="00356FB3">
        <w:rPr>
          <w:rFonts w:ascii="Times New Roman" w:hAnsi="Times New Roman" w:cs="Times New Roman"/>
          <w:lang w:val="en-US"/>
        </w:rPr>
        <w:t xml:space="preserve"> for estimation of the type of Fisher iris</w:t>
      </w:r>
      <w:r w:rsidR="003C5B27" w:rsidRPr="00356FB3">
        <w:rPr>
          <w:rStyle w:val="a8"/>
          <w:rFonts w:ascii="Times New Roman" w:hAnsi="Times New Roman" w:cs="Times New Roman"/>
          <w:lang w:val="en-US"/>
        </w:rPr>
        <w:footnoteReference w:id="1"/>
      </w:r>
      <w:r w:rsidRPr="00356FB3">
        <w:rPr>
          <w:rFonts w:ascii="Times New Roman" w:hAnsi="Times New Roman" w:cs="Times New Roman"/>
          <w:lang w:val="en-US"/>
        </w:rPr>
        <w:t xml:space="preserve">. </w:t>
      </w:r>
      <w:r w:rsidR="003C5B27" w:rsidRPr="00356FB3">
        <w:rPr>
          <w:rFonts w:ascii="Times New Roman" w:hAnsi="Times New Roman" w:cs="Times New Roman"/>
          <w:lang w:val="en-US"/>
        </w:rPr>
        <w:t xml:space="preserve">This data contains 150 observations with four attributes - </w:t>
      </w:r>
      <w:r w:rsidR="003C5B27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petal length, petal width, sepal length, sepal width and species</w:t>
      </w:r>
      <w:r w:rsidR="003C5B27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r w:rsidR="00AC3AD9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Class variable </w:t>
      </w:r>
      <m:oMath>
        <m:r>
          <w:rPr>
            <w:rFonts w:ascii="Cambria Math" w:hAnsi="Cambria Math" w:cs="Times New Roman"/>
            <w:color w:val="222222"/>
            <w:sz w:val="21"/>
            <w:szCs w:val="21"/>
            <w:shd w:val="clear" w:color="auto" w:fill="FFFFFF"/>
            <w:lang w:val="en-US"/>
          </w:rPr>
          <m:t>y</m:t>
        </m:r>
      </m:oMath>
      <w:r w:rsidR="00356FB3" w:rsidRPr="00356FB3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have 3 unique values: </w:t>
      </w:r>
      <w:hyperlink r:id="rId9" w:tooltip="Iris setosa" w:history="1">
        <w:r w:rsidR="00356FB3" w:rsidRPr="00356FB3">
          <w:rPr>
            <w:rFonts w:ascii="Times New Roman" w:eastAsiaTheme="minorEastAsia" w:hAnsi="Times New Roman" w:cs="Times New Roman"/>
            <w:color w:val="222222"/>
            <w:sz w:val="21"/>
            <w:szCs w:val="21"/>
            <w:shd w:val="clear" w:color="auto" w:fill="FFFFFF"/>
            <w:lang w:val="en-US"/>
          </w:rPr>
          <w:t xml:space="preserve">Iris </w:t>
        </w:r>
        <w:proofErr w:type="spellStart"/>
        <w:r w:rsidR="00356FB3" w:rsidRPr="00356FB3">
          <w:rPr>
            <w:rFonts w:ascii="Times New Roman" w:eastAsiaTheme="minorEastAsia" w:hAnsi="Times New Roman" w:cs="Times New Roman"/>
            <w:color w:val="222222"/>
            <w:sz w:val="21"/>
            <w:szCs w:val="21"/>
            <w:shd w:val="clear" w:color="auto" w:fill="FFFFFF"/>
            <w:lang w:val="en-US"/>
          </w:rPr>
          <w:t>setosa</w:t>
        </w:r>
        <w:proofErr w:type="spellEnd"/>
      </w:hyperlink>
      <w:r w:rsidR="00356FB3" w:rsidRPr="00356FB3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0" w:tooltip="Iris virginica" w:history="1">
        <w:r w:rsidR="00356FB3" w:rsidRPr="00356FB3">
          <w:rPr>
            <w:rFonts w:ascii="Times New Roman" w:eastAsiaTheme="minorEastAsia" w:hAnsi="Times New Roman" w:cs="Times New Roman"/>
            <w:color w:val="222222"/>
            <w:sz w:val="21"/>
            <w:szCs w:val="21"/>
            <w:shd w:val="clear" w:color="auto" w:fill="FFFFFF"/>
            <w:lang w:val="en-US"/>
          </w:rPr>
          <w:t xml:space="preserve">Iris </w:t>
        </w:r>
        <w:proofErr w:type="spellStart"/>
        <w:r w:rsidR="00356FB3" w:rsidRPr="00356FB3">
          <w:rPr>
            <w:rFonts w:ascii="Times New Roman" w:eastAsiaTheme="minorEastAsia" w:hAnsi="Times New Roman" w:cs="Times New Roman"/>
            <w:color w:val="222222"/>
            <w:sz w:val="21"/>
            <w:szCs w:val="21"/>
            <w:shd w:val="clear" w:color="auto" w:fill="FFFFFF"/>
            <w:lang w:val="en-US"/>
          </w:rPr>
          <w:t>virginica</w:t>
        </w:r>
        <w:proofErr w:type="spellEnd"/>
      </w:hyperlink>
      <w:r w:rsidR="00356FB3" w:rsidRPr="00356FB3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 and </w:t>
      </w:r>
      <w:hyperlink r:id="rId11" w:tooltip="Iris versicolor" w:history="1">
        <w:r w:rsidR="00356FB3" w:rsidRPr="00356FB3">
          <w:rPr>
            <w:rFonts w:ascii="Times New Roman" w:eastAsiaTheme="minorEastAsia" w:hAnsi="Times New Roman" w:cs="Times New Roman"/>
            <w:color w:val="222222"/>
            <w:sz w:val="21"/>
            <w:szCs w:val="21"/>
            <w:shd w:val="clear" w:color="auto" w:fill="FFFFFF"/>
            <w:lang w:val="en-US"/>
          </w:rPr>
          <w:t>Iris versicolor</w:t>
        </w:r>
      </w:hyperlink>
      <w:r w:rsidR="00356FB3" w:rsidRPr="00356FB3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.</w:t>
      </w:r>
      <w:r w:rsidR="000E792F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For estimation of the result we use four Machine learning algorithms:</w:t>
      </w:r>
    </w:p>
    <w:p w:rsidR="000E792F" w:rsidRDefault="000E792F" w:rsidP="000E792F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Support vector machine</w:t>
      </w:r>
      <w:r w:rsidR="00F6437E">
        <w:rPr>
          <w:rStyle w:val="a8"/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footnoteReference w:id="2"/>
      </w: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with linear kernel</w:t>
      </w:r>
    </w:p>
    <w:p w:rsidR="00F6437E" w:rsidRDefault="00F6437E" w:rsidP="000E792F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Decision tree</w:t>
      </w:r>
      <w:r>
        <w:rPr>
          <w:rStyle w:val="a8"/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footnoteReference w:id="3"/>
      </w: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with </w:t>
      </w:r>
      <w:r w:rsidR="004E60B8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Gini index</w:t>
      </w: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as measure.</w:t>
      </w:r>
    </w:p>
    <w:p w:rsidR="00F6437E" w:rsidRDefault="00F6437E" w:rsidP="000E792F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Random forest</w:t>
      </w:r>
      <w:r>
        <w:rPr>
          <w:rStyle w:val="a8"/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footnoteReference w:id="4"/>
      </w: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F6437E" w:rsidRPr="000E792F" w:rsidRDefault="00F6437E" w:rsidP="000E792F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r w:rsidRPr="00356FB3">
        <w:rPr>
          <w:rFonts w:ascii="Times New Roman" w:hAnsi="Times New Roman" w:cs="Times New Roman"/>
          <w:lang w:val="en-US"/>
        </w:rPr>
        <w:t>Gradient Boosting</w:t>
      </w:r>
      <w:r>
        <w:rPr>
          <w:rStyle w:val="a8"/>
          <w:rFonts w:ascii="Times New Roman" w:hAnsi="Times New Roman" w:cs="Times New Roman"/>
          <w:lang w:val="en-US"/>
        </w:rPr>
        <w:footnoteReference w:id="5"/>
      </w:r>
      <w:r>
        <w:rPr>
          <w:rFonts w:ascii="Times New Roman" w:hAnsi="Times New Roman" w:cs="Times New Roman"/>
          <w:lang w:val="en-US"/>
        </w:rPr>
        <w:t>.</w:t>
      </w:r>
    </w:p>
    <w:p w:rsidR="00D534F5" w:rsidRPr="00356FB3" w:rsidRDefault="00F6437E" w:rsidP="005E452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checking results of calculations we also use</w:t>
      </w:r>
      <w:r w:rsidR="002B7081">
        <w:rPr>
          <w:rFonts w:ascii="Times New Roman" w:hAnsi="Times New Roman" w:cs="Times New Roman"/>
          <w:lang w:val="en-US"/>
        </w:rPr>
        <w:t xml:space="preserve"> random</w:t>
      </w:r>
      <w:r>
        <w:rPr>
          <w:rFonts w:ascii="Times New Roman" w:hAnsi="Times New Roman" w:cs="Times New Roman"/>
          <w:lang w:val="en-US"/>
        </w:rPr>
        <w:t xml:space="preserve"> </w:t>
      </w:r>
      <w:r w:rsidR="002B7081">
        <w:rPr>
          <w:rFonts w:ascii="Times New Roman" w:hAnsi="Times New Roman" w:cs="Times New Roman"/>
          <w:lang w:val="en-US"/>
        </w:rPr>
        <w:t>splitting data to rain and test sets (80% + 20%). In the next table we can see results for all three methods. We use accuracy of the methods as main characteristic of goodness of method.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6D76" w:rsidRPr="002B7081" w:rsidTr="00626D76"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Method</w:t>
            </w:r>
          </w:p>
        </w:tc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Accuracy for train data</w:t>
            </w:r>
          </w:p>
        </w:tc>
        <w:tc>
          <w:tcPr>
            <w:tcW w:w="3191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Accuracy for test data</w:t>
            </w:r>
          </w:p>
        </w:tc>
      </w:tr>
      <w:tr w:rsidR="00626D76" w:rsidRPr="002B7081" w:rsidTr="00626D76"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Linear Support Vector Machine</w:t>
            </w:r>
            <w:r w:rsidR="009F3C23">
              <w:rPr>
                <w:rFonts w:ascii="Times New Roman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C=1</m:t>
              </m:r>
            </m:oMath>
          </w:p>
        </w:tc>
        <w:tc>
          <w:tcPr>
            <w:tcW w:w="3190" w:type="dxa"/>
          </w:tcPr>
          <w:p w:rsidR="00626D76" w:rsidRPr="00356FB3" w:rsidRDefault="009F3C23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</w:t>
            </w:r>
            <w:r w:rsidR="00626D76" w:rsidRPr="00356FB3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191" w:type="dxa"/>
          </w:tcPr>
          <w:p w:rsidR="00626D76" w:rsidRPr="00356FB3" w:rsidRDefault="009F3C23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626D76" w:rsidRPr="00356FB3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626D76" w:rsidRPr="00356FB3" w:rsidTr="00626D76"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Decision tree</w:t>
            </w:r>
          </w:p>
        </w:tc>
        <w:tc>
          <w:tcPr>
            <w:tcW w:w="3190" w:type="dxa"/>
          </w:tcPr>
          <w:p w:rsidR="00626D76" w:rsidRPr="00356FB3" w:rsidRDefault="009F3C23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</w:t>
            </w:r>
            <w:r w:rsidR="00626D76" w:rsidRPr="00356FB3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191" w:type="dxa"/>
          </w:tcPr>
          <w:p w:rsidR="00626D76" w:rsidRPr="00356FB3" w:rsidRDefault="009F3C23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626D76" w:rsidRPr="00356FB3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626D76" w:rsidRPr="00356FB3" w:rsidTr="00626D76"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Random forest</w:t>
            </w:r>
          </w:p>
        </w:tc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3191" w:type="dxa"/>
          </w:tcPr>
          <w:p w:rsidR="00626D76" w:rsidRPr="00356FB3" w:rsidRDefault="009F3C23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626D76" w:rsidRPr="00356FB3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626D76" w:rsidRPr="00356FB3" w:rsidTr="00626D76"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Gradient Boosting</w:t>
            </w:r>
          </w:p>
        </w:tc>
        <w:tc>
          <w:tcPr>
            <w:tcW w:w="3190" w:type="dxa"/>
          </w:tcPr>
          <w:p w:rsidR="00626D76" w:rsidRPr="00356FB3" w:rsidRDefault="00626D76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56FB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3191" w:type="dxa"/>
          </w:tcPr>
          <w:p w:rsidR="00626D76" w:rsidRPr="00356FB3" w:rsidRDefault="00A9132A" w:rsidP="00356FB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626D76" w:rsidRPr="00356FB3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</w:tbl>
    <w:p w:rsidR="00626D76" w:rsidRDefault="00A9132A" w:rsidP="00356FB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Table 1.</w:t>
      </w:r>
      <w:proofErr w:type="gramEnd"/>
      <w:r>
        <w:rPr>
          <w:rFonts w:ascii="Times New Roman" w:hAnsi="Times New Roman" w:cs="Times New Roman"/>
          <w:lang w:val="en-US"/>
        </w:rPr>
        <w:t xml:space="preserve"> Accuracy of the four main methods</w:t>
      </w:r>
    </w:p>
    <w:p w:rsidR="00A9132A" w:rsidRDefault="00A9132A" w:rsidP="00A9132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9132A" w:rsidRDefault="00A9132A" w:rsidP="00A9132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we can see from table 1, all four methods give 100% accuracy for test dataset. This means perfect predict by all four choosing methods. Consider now all methods in details. </w:t>
      </w:r>
      <w:r w:rsidR="00081060">
        <w:rPr>
          <w:rFonts w:ascii="Times New Roman" w:hAnsi="Times New Roman" w:cs="Times New Roman"/>
          <w:lang w:val="en-US"/>
        </w:rPr>
        <w:t xml:space="preserve">Main aim in all next conclusions is choose best parameter of the model. </w:t>
      </w:r>
    </w:p>
    <w:p w:rsidR="00081060" w:rsidRPr="00081060" w:rsidRDefault="00081060" w:rsidP="00081060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81060">
        <w:rPr>
          <w:rFonts w:ascii="Times New Roman" w:hAnsi="Times New Roman" w:cs="Times New Roman"/>
          <w:b/>
          <w:i/>
          <w:lang w:val="en-US"/>
        </w:rPr>
        <w:t>Support vector machine</w:t>
      </w:r>
      <w:r>
        <w:rPr>
          <w:rFonts w:ascii="Times New Roman" w:hAnsi="Times New Roman" w:cs="Times New Roman"/>
          <w:lang w:val="en-US"/>
        </w:rPr>
        <w:t xml:space="preserve">. Results of all calculations for this method we can see in the Fig. 1. As we can see from this figure, accuracy is function from penalty parameter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and optimal value of this parameter is </w:t>
      </w:r>
    </w:p>
    <w:p w:rsidR="00081060" w:rsidRPr="00081060" w:rsidRDefault="00081060" w:rsidP="0008106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opt</m:t>
              </m:r>
            </m:sub>
          </m:sSub>
          <m:r>
            <w:rPr>
              <w:rFonts w:ascii="Cambria Math" w:hAnsi="Cambria Math" w:cs="Times New Roman"/>
              <w:lang w:val="en-US"/>
            </w:rPr>
            <m:t>=1.</m:t>
          </m:r>
        </m:oMath>
      </m:oMathPara>
    </w:p>
    <w:p w:rsidR="00081060" w:rsidRDefault="00081060" w:rsidP="0008106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081060">
        <w:rPr>
          <w:rFonts w:ascii="Times New Roman" w:eastAsiaTheme="minorEastAsia" w:hAnsi="Times New Roman" w:cs="Times New Roman"/>
          <w:lang w:val="en-US"/>
        </w:rPr>
        <w:t xml:space="preserve">For </w:t>
      </w:r>
      <w:r>
        <w:rPr>
          <w:rFonts w:ascii="Times New Roman" w:eastAsiaTheme="minorEastAsia" w:hAnsi="Times New Roman" w:cs="Times New Roman"/>
          <w:lang w:val="en-US"/>
        </w:rPr>
        <w:t xml:space="preserve">this value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accuracy of test and train </w:t>
      </w:r>
      <w:r w:rsidR="000D0E63">
        <w:rPr>
          <w:rFonts w:ascii="Times New Roman" w:eastAsiaTheme="minorEastAsia" w:hAnsi="Times New Roman" w:cs="Times New Roman"/>
          <w:lang w:val="en-US"/>
        </w:rPr>
        <w:t xml:space="preserve">sets is almost 100%. </w:t>
      </w:r>
    </w:p>
    <w:p w:rsidR="000D0E63" w:rsidRDefault="000D0E63" w:rsidP="000D0E63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4E60B8">
        <w:rPr>
          <w:rFonts w:ascii="Times New Roman" w:eastAsiaTheme="minorEastAsia" w:hAnsi="Times New Roman" w:cs="Times New Roman"/>
          <w:b/>
          <w:i/>
          <w:lang w:val="en-US"/>
        </w:rPr>
        <w:lastRenderedPageBreak/>
        <w:t>Decision tree</w:t>
      </w:r>
      <w:r w:rsidR="004E60B8">
        <w:rPr>
          <w:rFonts w:ascii="Times New Roman" w:eastAsiaTheme="minorEastAsia" w:hAnsi="Times New Roman" w:cs="Times New Roman"/>
          <w:lang w:val="en-US"/>
        </w:rPr>
        <w:t xml:space="preserve">. Results of calculations by decision tree we can see in the Fig. 2. As we can see accuracy is 99% for train data and 100% for test data. </w:t>
      </w:r>
      <w:r w:rsidR="00271732">
        <w:rPr>
          <w:rFonts w:ascii="Times New Roman" w:eastAsiaTheme="minorEastAsia" w:hAnsi="Times New Roman" w:cs="Times New Roman"/>
          <w:lang w:val="en-US"/>
        </w:rPr>
        <w:t xml:space="preserve">We use two parameters for choosing optimal model in DT – max depth and number of features. In result optimal parameters is </w:t>
      </w:r>
    </w:p>
    <w:p w:rsidR="00271732" w:rsidRPr="00271732" w:rsidRDefault="00271732" w:rsidP="00271732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Max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depth=6, </m:t>
          </m:r>
        </m:oMath>
      </m:oMathPara>
    </w:p>
    <w:p w:rsidR="00271732" w:rsidRPr="00271732" w:rsidRDefault="00271732" w:rsidP="00271732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Numb. features=4.</m:t>
          </m:r>
        </m:oMath>
      </m:oMathPara>
    </w:p>
    <w:p w:rsidR="00271732" w:rsidRPr="00271732" w:rsidRDefault="00271732" w:rsidP="00271732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271732">
        <w:rPr>
          <w:rFonts w:ascii="Times New Roman" w:eastAsiaTheme="minorEastAsia" w:hAnsi="Times New Roman" w:cs="Times New Roman"/>
          <w:lang w:val="en-US"/>
        </w:rPr>
        <w:t>Also,</w:t>
      </w:r>
      <w:r>
        <w:rPr>
          <w:rFonts w:ascii="Times New Roman" w:eastAsiaTheme="minorEastAsia" w:hAnsi="Times New Roman" w:cs="Times New Roman"/>
          <w:lang w:val="en-US"/>
        </w:rPr>
        <w:t xml:space="preserve"> last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subplot in the Fig. 2 show importance of the features – most importance are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features </w:t>
      </w:r>
      <w:r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petal width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(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60% of total importance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)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and </w:t>
      </w:r>
      <w:r w:rsidR="00AA3D66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petal 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length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(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almost 4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0% of total importance)</w:t>
      </w:r>
      <w:r w:rsidR="00AA3D6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. Two other features have almost 0% of importance. </w:t>
      </w:r>
    </w:p>
    <w:p w:rsidR="00081060" w:rsidRDefault="00081060" w:rsidP="00081060">
      <w:pPr>
        <w:pStyle w:val="aa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96425" cy="2749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83" cy="27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60" w:rsidRDefault="00081060" w:rsidP="00081060">
      <w:pPr>
        <w:pStyle w:val="aa"/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1.</w:t>
      </w:r>
      <w:proofErr w:type="gramEnd"/>
      <w:r>
        <w:rPr>
          <w:rFonts w:ascii="Times New Roman" w:hAnsi="Times New Roman" w:cs="Times New Roman"/>
          <w:lang w:val="en-US"/>
        </w:rPr>
        <w:t xml:space="preserve"> Accuracy vs Penalty parameter,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for linear SVM</w:t>
      </w:r>
    </w:p>
    <w:p w:rsidR="004E60B8" w:rsidRDefault="00271732" w:rsidP="00081060">
      <w:pPr>
        <w:pStyle w:val="aa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82153" cy="24123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tre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91" cy="24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32" w:rsidRDefault="00271732" w:rsidP="00271732">
      <w:pPr>
        <w:pStyle w:val="aa"/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Figure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Results of calculations for Decision tree.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68401B" w:rsidRPr="00960491" w:rsidRDefault="00743DC6" w:rsidP="0096049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43DC6">
        <w:rPr>
          <w:rFonts w:ascii="Times New Roman" w:eastAsiaTheme="minorEastAsia" w:hAnsi="Times New Roman" w:cs="Times New Roman"/>
          <w:b/>
          <w:i/>
          <w:color w:val="222222"/>
          <w:sz w:val="21"/>
          <w:szCs w:val="21"/>
          <w:shd w:val="clear" w:color="auto" w:fill="FFFFFF"/>
          <w:lang w:val="en-US"/>
        </w:rPr>
        <w:t>Random forest</w:t>
      </w:r>
      <w:r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. Result of calculations for random forest we can see in the Fig. 3. </w:t>
      </w:r>
      <w:proofErr w:type="gramStart"/>
      <w:r w:rsidR="0068401B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This method give</w:t>
      </w:r>
      <w:proofErr w:type="gramEnd"/>
      <w:r w:rsidR="0068401B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100% of accuracy for train and test sets. From first figure we can notice, that this method give almost same result for a</w:t>
      </w:r>
      <w:r w:rsidR="00960491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ll possible number of features, hence each number of features can be chosen as optimal for this algorithm:</w:t>
      </w:r>
    </w:p>
    <w:p w:rsidR="00960491" w:rsidRPr="00271732" w:rsidRDefault="00960491" w:rsidP="00960491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Numb. features=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1,2,3  or  </m:t>
          </m:r>
          <m:r>
            <w:rPr>
              <w:rFonts w:ascii="Cambria Math" w:eastAsiaTheme="minorEastAsia" w:hAnsi="Cambria Math" w:cs="Times New Roman"/>
              <w:lang w:val="en-US"/>
            </w:rPr>
            <m:t>4.</m:t>
          </m:r>
        </m:oMath>
      </m:oMathPara>
    </w:p>
    <w:p w:rsidR="00960491" w:rsidRPr="0068401B" w:rsidRDefault="00960491" w:rsidP="0096049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Also, </w:t>
      </w:r>
      <w:proofErr w:type="gramStart"/>
      <w:r>
        <w:rPr>
          <w:rFonts w:ascii="Times New Roman" w:hAnsi="Times New Roman" w:cs="Times New Roman"/>
          <w:lang w:val="en-US"/>
        </w:rPr>
        <w:t>this method have</w:t>
      </w:r>
      <w:proofErr w:type="gramEnd"/>
      <w:r>
        <w:rPr>
          <w:rFonts w:ascii="Times New Roman" w:hAnsi="Times New Roman" w:cs="Times New Roman"/>
          <w:lang w:val="en-US"/>
        </w:rPr>
        <w:t xml:space="preserve"> different values of features importance than decision tree. In this method most importance are also features </w:t>
      </w:r>
      <w:r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petal width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37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% of total importance) and </w:t>
      </w:r>
      <w:r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petal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length (almost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28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% of total importance)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and sepal length (23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% of total importance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).  </w:t>
      </w:r>
    </w:p>
    <w:p w:rsidR="00271732" w:rsidRDefault="0068401B" w:rsidP="0068401B">
      <w:pPr>
        <w:pStyle w:val="aa"/>
        <w:spacing w:line="360" w:lineRule="auto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662237" cy="230944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_Forest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468" cy="23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C6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p w:rsidR="0068401B" w:rsidRDefault="0068401B" w:rsidP="0068401B">
      <w:pPr>
        <w:pStyle w:val="aa"/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Figure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Results of calculations for </w:t>
      </w:r>
      <w:r>
        <w:rPr>
          <w:rFonts w:ascii="Times New Roman" w:hAnsi="Times New Roman" w:cs="Times New Roman"/>
          <w:lang w:val="en-US"/>
        </w:rPr>
        <w:t>Random forest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811AEC" w:rsidRPr="00960491" w:rsidRDefault="0010686C" w:rsidP="00811A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0686C">
        <w:rPr>
          <w:rFonts w:ascii="Times New Roman" w:hAnsi="Times New Roman" w:cs="Times New Roman"/>
          <w:b/>
          <w:i/>
          <w:lang w:val="en-US"/>
        </w:rPr>
        <w:t>Gradient Boosting</w:t>
      </w:r>
      <w:r>
        <w:rPr>
          <w:rFonts w:ascii="Times New Roman" w:hAnsi="Times New Roman" w:cs="Times New Roman"/>
          <w:lang w:val="en-US"/>
        </w:rPr>
        <w:t xml:space="preserve">. </w:t>
      </w:r>
      <w:r w:rsidR="00811AEC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Result of calculations for random forest we can see in the Fig. </w:t>
      </w:r>
      <w:r w:rsidR="00811AEC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4</w:t>
      </w:r>
      <w:r w:rsidR="00811AEC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proofErr w:type="gramStart"/>
      <w:r w:rsidR="00811AEC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This method give</w:t>
      </w:r>
      <w:proofErr w:type="gramEnd"/>
      <w:r w:rsidR="00811AEC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100% of accuracy for train and test sets. From first figure we can notice, that this method give almost same result for all possible number of </w:t>
      </w:r>
      <w:r w:rsidR="00A961ED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depth</w:t>
      </w:r>
      <w:r w:rsidR="00811AEC"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  <w:lang w:val="en-US"/>
        </w:rPr>
        <w:t>, hence each number of features can be chosen as optimal for this algorithm:</w:t>
      </w:r>
    </w:p>
    <w:p w:rsidR="00811AEC" w:rsidRPr="00A961ED" w:rsidRDefault="00A961ED" w:rsidP="00A961ED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Max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depth=6</m:t>
          </m:r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68401B" w:rsidRDefault="00811AEC" w:rsidP="00811AEC">
      <w:pPr>
        <w:pStyle w:val="aa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73914" cy="2526631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ient_Boos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54" cy="25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EC" w:rsidRDefault="00811AEC" w:rsidP="00811AEC">
      <w:pPr>
        <w:pStyle w:val="aa"/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Figure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Results of calculations for </w:t>
      </w:r>
      <w:r>
        <w:rPr>
          <w:rFonts w:ascii="Times New Roman" w:hAnsi="Times New Roman" w:cs="Times New Roman"/>
          <w:lang w:val="en-US"/>
        </w:rPr>
        <w:t>Gradient Boosting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6932C3" w:rsidRDefault="006932C3" w:rsidP="00A961ED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:rsidR="00A961ED" w:rsidRPr="00A961ED" w:rsidRDefault="00A961ED" w:rsidP="00A961ED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A961ED">
        <w:rPr>
          <w:rFonts w:ascii="Times New Roman" w:eastAsiaTheme="minorEastAsia" w:hAnsi="Times New Roman" w:cs="Times New Roman"/>
          <w:lang w:val="en-US"/>
        </w:rPr>
        <w:t>Also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 xml:space="preserve">this method </w:t>
      </w:r>
      <w:r w:rsidR="006932C3">
        <w:rPr>
          <w:rFonts w:ascii="Times New Roman" w:eastAsiaTheme="minorEastAsia" w:hAnsi="Times New Roman" w:cs="Times New Roman"/>
          <w:lang w:val="en-US"/>
        </w:rPr>
        <w:t>have</w:t>
      </w:r>
      <w:proofErr w:type="gramEnd"/>
      <w:r w:rsidR="006932C3">
        <w:rPr>
          <w:rFonts w:ascii="Times New Roman" w:eastAsiaTheme="minorEastAsia" w:hAnsi="Times New Roman" w:cs="Times New Roman"/>
          <w:lang w:val="en-US"/>
        </w:rPr>
        <w:t xml:space="preserve"> some different result about importance of variables. Most importance variables for this method are </w:t>
      </w:r>
      <w:r w:rsidR="006932C3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petal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length</w:t>
      </w:r>
      <w:r w:rsidR="006932C3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(3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9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% of total importance) and </w:t>
      </w:r>
      <w:r w:rsidR="006932C3" w:rsidRPr="00356FB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petal width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 (almost 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36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% of total importance)</w:t>
      </w:r>
      <w:r w:rsidR="006932C3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 xml:space="preserve">. Two other features have importance less than 20%. </w:t>
      </w:r>
      <w:bookmarkStart w:id="0" w:name="_GoBack"/>
      <w:bookmarkEnd w:id="0"/>
    </w:p>
    <w:p w:rsidR="00811AEC" w:rsidRPr="00743DC6" w:rsidRDefault="00811AEC" w:rsidP="00811AEC">
      <w:pPr>
        <w:pStyle w:val="aa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sectPr w:rsidR="00811AEC" w:rsidRPr="0074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2CB" w:rsidRDefault="00C632CB" w:rsidP="00CA7CAF">
      <w:pPr>
        <w:spacing w:after="0" w:line="240" w:lineRule="auto"/>
      </w:pPr>
      <w:r>
        <w:separator/>
      </w:r>
    </w:p>
  </w:endnote>
  <w:endnote w:type="continuationSeparator" w:id="0">
    <w:p w:rsidR="00C632CB" w:rsidRDefault="00C632CB" w:rsidP="00C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2CB" w:rsidRDefault="00C632CB" w:rsidP="00CA7CAF">
      <w:pPr>
        <w:spacing w:after="0" w:line="240" w:lineRule="auto"/>
      </w:pPr>
      <w:r>
        <w:separator/>
      </w:r>
    </w:p>
  </w:footnote>
  <w:footnote w:type="continuationSeparator" w:id="0">
    <w:p w:rsidR="00C632CB" w:rsidRDefault="00C632CB" w:rsidP="00CA7CAF">
      <w:pPr>
        <w:spacing w:after="0" w:line="240" w:lineRule="auto"/>
      </w:pPr>
      <w:r>
        <w:continuationSeparator/>
      </w:r>
    </w:p>
  </w:footnote>
  <w:footnote w:id="1">
    <w:p w:rsidR="003C5B27" w:rsidRPr="003C5B27" w:rsidRDefault="003C5B27">
      <w:pPr>
        <w:pStyle w:val="a6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1" w:history="1">
        <w:r w:rsidRPr="00F5100F">
          <w:rPr>
            <w:rStyle w:val="a9"/>
          </w:rPr>
          <w:t>https://en.wikipedia.org/wiki/Iris_flower_data_set</w:t>
        </w:r>
      </w:hyperlink>
      <w:r>
        <w:rPr>
          <w:lang w:val="en-US"/>
        </w:rPr>
        <w:t xml:space="preserve"> </w:t>
      </w:r>
    </w:p>
  </w:footnote>
  <w:footnote w:id="2">
    <w:p w:rsidR="00F6437E" w:rsidRPr="00F6437E" w:rsidRDefault="00F6437E">
      <w:pPr>
        <w:pStyle w:val="a6"/>
        <w:rPr>
          <w:lang w:val="en-US"/>
        </w:rPr>
      </w:pPr>
      <w:r>
        <w:rPr>
          <w:rStyle w:val="a8"/>
        </w:rPr>
        <w:footnoteRef/>
      </w:r>
      <w:r w:rsidRPr="00F6437E">
        <w:rPr>
          <w:lang w:val="en-US"/>
        </w:rPr>
        <w:t xml:space="preserve"> </w:t>
      </w:r>
      <w:hyperlink r:id="rId2" w:history="1">
        <w:r w:rsidRPr="00F5100F">
          <w:rPr>
            <w:rStyle w:val="a9"/>
            <w:lang w:val="en-US"/>
          </w:rPr>
          <w:t>https://en.wikipedia.org/wiki/Support-vector_machine</w:t>
        </w:r>
      </w:hyperlink>
      <w:r>
        <w:rPr>
          <w:lang w:val="en-US"/>
        </w:rPr>
        <w:t xml:space="preserve"> </w:t>
      </w:r>
    </w:p>
  </w:footnote>
  <w:footnote w:id="3">
    <w:p w:rsidR="00F6437E" w:rsidRPr="00F6437E" w:rsidRDefault="00F6437E">
      <w:pPr>
        <w:pStyle w:val="a6"/>
        <w:rPr>
          <w:lang w:val="en-US"/>
        </w:rPr>
      </w:pPr>
      <w:r>
        <w:rPr>
          <w:rStyle w:val="a8"/>
        </w:rPr>
        <w:footnoteRef/>
      </w:r>
      <w:r w:rsidRPr="00F6437E">
        <w:rPr>
          <w:lang w:val="en-US"/>
        </w:rPr>
        <w:t xml:space="preserve"> </w:t>
      </w:r>
      <w:hyperlink r:id="rId3" w:history="1">
        <w:r w:rsidRPr="00F5100F">
          <w:rPr>
            <w:rStyle w:val="a9"/>
            <w:lang w:val="en-US"/>
          </w:rPr>
          <w:t>https://en.wikipedia.org/wiki/Decision_tree</w:t>
        </w:r>
      </w:hyperlink>
      <w:r>
        <w:rPr>
          <w:lang w:val="en-US"/>
        </w:rPr>
        <w:t xml:space="preserve"> </w:t>
      </w:r>
    </w:p>
  </w:footnote>
  <w:footnote w:id="4">
    <w:p w:rsidR="00F6437E" w:rsidRPr="00F6437E" w:rsidRDefault="00F6437E">
      <w:pPr>
        <w:pStyle w:val="a6"/>
        <w:rPr>
          <w:lang w:val="en-US"/>
        </w:rPr>
      </w:pPr>
      <w:r>
        <w:rPr>
          <w:rStyle w:val="a8"/>
        </w:rPr>
        <w:footnoteRef/>
      </w:r>
      <w:r w:rsidRPr="00F6437E">
        <w:rPr>
          <w:lang w:val="en-US"/>
        </w:rPr>
        <w:t xml:space="preserve"> </w:t>
      </w:r>
      <w:hyperlink r:id="rId4" w:history="1">
        <w:r w:rsidRPr="00F5100F">
          <w:rPr>
            <w:rStyle w:val="a9"/>
            <w:lang w:val="en-US"/>
          </w:rPr>
          <w:t>https://en.wikipedia.org/wiki/Random_forest</w:t>
        </w:r>
      </w:hyperlink>
      <w:r>
        <w:rPr>
          <w:lang w:val="en-US"/>
        </w:rPr>
        <w:t xml:space="preserve"> </w:t>
      </w:r>
    </w:p>
  </w:footnote>
  <w:footnote w:id="5">
    <w:p w:rsidR="00F6437E" w:rsidRPr="00F6437E" w:rsidRDefault="00F6437E">
      <w:pPr>
        <w:pStyle w:val="a6"/>
        <w:rPr>
          <w:lang w:val="en-US"/>
        </w:rPr>
      </w:pPr>
      <w:r>
        <w:rPr>
          <w:rStyle w:val="a8"/>
        </w:rPr>
        <w:footnoteRef/>
      </w:r>
      <w:r w:rsidRPr="00F6437E">
        <w:rPr>
          <w:lang w:val="en-US"/>
        </w:rPr>
        <w:t xml:space="preserve"> </w:t>
      </w:r>
      <w:hyperlink r:id="rId5" w:history="1">
        <w:r w:rsidRPr="00F5100F">
          <w:rPr>
            <w:rStyle w:val="a9"/>
            <w:lang w:val="en-US"/>
          </w:rPr>
          <w:t>https://en.wikipedia.org/wiki/Gradient_boosting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22F14"/>
    <w:multiLevelType w:val="hybridMultilevel"/>
    <w:tmpl w:val="9AAC5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63BD7"/>
    <w:multiLevelType w:val="hybridMultilevel"/>
    <w:tmpl w:val="9A6C8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DE"/>
    <w:rsid w:val="00067C62"/>
    <w:rsid w:val="00081060"/>
    <w:rsid w:val="000A5381"/>
    <w:rsid w:val="000D0E63"/>
    <w:rsid w:val="000E792F"/>
    <w:rsid w:val="0010686C"/>
    <w:rsid w:val="00271732"/>
    <w:rsid w:val="002B7081"/>
    <w:rsid w:val="002D3FDE"/>
    <w:rsid w:val="00356FB3"/>
    <w:rsid w:val="003B6A2F"/>
    <w:rsid w:val="003C5B27"/>
    <w:rsid w:val="004610B8"/>
    <w:rsid w:val="004E60B8"/>
    <w:rsid w:val="005D0BF6"/>
    <w:rsid w:val="005E4526"/>
    <w:rsid w:val="00626D76"/>
    <w:rsid w:val="0068401B"/>
    <w:rsid w:val="006932C3"/>
    <w:rsid w:val="00743DC6"/>
    <w:rsid w:val="00811AEC"/>
    <w:rsid w:val="00857EEA"/>
    <w:rsid w:val="00960491"/>
    <w:rsid w:val="009F3C23"/>
    <w:rsid w:val="00A6387A"/>
    <w:rsid w:val="00A9132A"/>
    <w:rsid w:val="00A961ED"/>
    <w:rsid w:val="00AA3D66"/>
    <w:rsid w:val="00AC3AD9"/>
    <w:rsid w:val="00B33450"/>
    <w:rsid w:val="00C632CB"/>
    <w:rsid w:val="00CA7CAF"/>
    <w:rsid w:val="00D534F5"/>
    <w:rsid w:val="00F6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D76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CA7CA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A7CA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A7CAF"/>
    <w:rPr>
      <w:vertAlign w:val="superscript"/>
    </w:rPr>
  </w:style>
  <w:style w:type="character" w:styleId="a9">
    <w:name w:val="Hyperlink"/>
    <w:basedOn w:val="a0"/>
    <w:uiPriority w:val="99"/>
    <w:unhideWhenUsed/>
    <w:rsid w:val="00CA7CA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E792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717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D76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CA7CA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A7CA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A7CAF"/>
    <w:rPr>
      <w:vertAlign w:val="superscript"/>
    </w:rPr>
  </w:style>
  <w:style w:type="character" w:styleId="a9">
    <w:name w:val="Hyperlink"/>
    <w:basedOn w:val="a0"/>
    <w:uiPriority w:val="99"/>
    <w:unhideWhenUsed/>
    <w:rsid w:val="00CA7CA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E792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71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ris_versicolo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en.wikipedia.org/wiki/Iris_virgini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ris_setosa" TargetMode="External"/><Relationship Id="rId14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Decision_tree" TargetMode="External"/><Relationship Id="rId2" Type="http://schemas.openxmlformats.org/officeDocument/2006/relationships/hyperlink" Target="https://en.wikipedia.org/wiki/Support-vector_machine" TargetMode="External"/><Relationship Id="rId1" Type="http://schemas.openxmlformats.org/officeDocument/2006/relationships/hyperlink" Target="https://en.wikipedia.org/wiki/Iris_flower_data_set" TargetMode="External"/><Relationship Id="rId5" Type="http://schemas.openxmlformats.org/officeDocument/2006/relationships/hyperlink" Target="https://en.wikipedia.org/wiki/Gradient_boosting" TargetMode="External"/><Relationship Id="rId4" Type="http://schemas.openxmlformats.org/officeDocument/2006/relationships/hyperlink" Target="https://en.wikipedia.org/wiki/Random_for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C9C07-9BD3-4226-B511-595E3F0A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2019-04-23T09:14:00Z</dcterms:created>
  <dcterms:modified xsi:type="dcterms:W3CDTF">2019-05-17T02:22:00Z</dcterms:modified>
</cp:coreProperties>
</file>