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4D7E48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4D7E4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4D7E48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4D7E48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4D7E48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750AD9FF" w14:textId="2CE60D91" w:rsidR="00687589" w:rsidRPr="00687589" w:rsidRDefault="00B16C03" w:rsidP="00687589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</w:t>
      </w:r>
      <w:proofErr w:type="gramStart"/>
      <w:r w:rsidRPr="00687589">
        <w:rPr>
          <w:rFonts w:hint="eastAsia"/>
          <w:sz w:val="24"/>
          <w:szCs w:val="24"/>
        </w:rPr>
        <w:t>于爬取</w:t>
      </w:r>
      <w:proofErr w:type="gramEnd"/>
      <w:r w:rsidRPr="00687589">
        <w:rPr>
          <w:rFonts w:hint="eastAsia"/>
          <w:sz w:val="24"/>
          <w:szCs w:val="24"/>
        </w:rPr>
        <w:t>蛋卷基金</w:t>
      </w:r>
      <w:r w:rsidRPr="00687589">
        <w:rPr>
          <w:rFonts w:hint="eastAsia"/>
          <w:sz w:val="24"/>
          <w:szCs w:val="24"/>
        </w:rPr>
        <w:t>、</w:t>
      </w:r>
      <w:r w:rsidRPr="00687589">
        <w:rPr>
          <w:rFonts w:hint="eastAsia"/>
          <w:sz w:val="24"/>
          <w:szCs w:val="24"/>
        </w:rPr>
        <w:t>且慢基金网站上的基金信息，存储至本地数据库中</w:t>
      </w:r>
      <w:r w:rsidRPr="00687589">
        <w:rPr>
          <w:rFonts w:hint="eastAsia"/>
          <w:sz w:val="24"/>
          <w:szCs w:val="24"/>
        </w:rPr>
        <w:t>。</w:t>
      </w:r>
      <w:r w:rsidR="00687589" w:rsidRPr="00687589">
        <w:rPr>
          <w:rFonts w:hint="eastAsia"/>
          <w:sz w:val="24"/>
          <w:szCs w:val="24"/>
        </w:rPr>
        <w:t>可以不断更新</w:t>
      </w:r>
      <w:proofErr w:type="gramStart"/>
      <w:r w:rsidR="00687589" w:rsidRPr="00687589">
        <w:rPr>
          <w:rFonts w:hint="eastAsia"/>
          <w:sz w:val="24"/>
          <w:szCs w:val="24"/>
        </w:rPr>
        <w:t>新</w:t>
      </w:r>
      <w:proofErr w:type="gramEnd"/>
      <w:r w:rsidR="00687589" w:rsidRPr="00687589">
        <w:rPr>
          <w:rFonts w:hint="eastAsia"/>
          <w:sz w:val="24"/>
          <w:szCs w:val="24"/>
        </w:rPr>
        <w:t>获取的数据。同时能用图形化界面向用户展示基金的各各方面信息。便于用户将不同的基金放在一起作比较。</w:t>
      </w:r>
    </w:p>
    <w:p w14:paraId="10A34FEA" w14:textId="77777777" w:rsidR="00687589" w:rsidRPr="00687589" w:rsidRDefault="00687589" w:rsidP="00B16C03">
      <w:pPr>
        <w:rPr>
          <w:rFonts w:hint="eastAsia"/>
          <w:sz w:val="24"/>
          <w:szCs w:val="24"/>
        </w:rPr>
      </w:pPr>
    </w:p>
    <w:p w14:paraId="6B1A952F" w14:textId="3919C6A2" w:rsidR="00687589" w:rsidRPr="00687589" w:rsidRDefault="00687589" w:rsidP="00687589">
      <w:pPr>
        <w:ind w:firstLineChars="200" w:firstLine="480"/>
        <w:rPr>
          <w:rFonts w:hint="eastAsia"/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>
      <w:pPr>
        <w:rPr>
          <w:rFonts w:hint="eastAsia"/>
        </w:rPr>
      </w:pPr>
    </w:p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/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/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/>
    <w:p w14:paraId="4D814D40" w14:textId="4D9E9057" w:rsidR="00C9464C" w:rsidRDefault="0086167F" w:rsidP="00C9464C">
      <w:pPr>
        <w:pStyle w:val="4"/>
      </w:pPr>
      <w:r>
        <w:rPr>
          <w:rFonts w:hint="eastAsia"/>
        </w:rPr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/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lastRenderedPageBreak/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lastRenderedPageBreak/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7D4E" w14:textId="77777777" w:rsidR="004D7E48" w:rsidRDefault="004D7E48" w:rsidP="002F1FD2">
      <w:r>
        <w:separator/>
      </w:r>
    </w:p>
  </w:endnote>
  <w:endnote w:type="continuationSeparator" w:id="0">
    <w:p w14:paraId="1E2D97BE" w14:textId="77777777" w:rsidR="004D7E48" w:rsidRDefault="004D7E48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94F3" w14:textId="77777777" w:rsidR="004D7E48" w:rsidRDefault="004D7E48" w:rsidP="002F1FD2">
      <w:r>
        <w:separator/>
      </w:r>
    </w:p>
  </w:footnote>
  <w:footnote w:type="continuationSeparator" w:id="0">
    <w:p w14:paraId="2B59E4BB" w14:textId="77777777" w:rsidR="004D7E48" w:rsidRDefault="004D7E48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C7DAD"/>
    <w:rsid w:val="003D4757"/>
    <w:rsid w:val="003D5FA2"/>
    <w:rsid w:val="004165C0"/>
    <w:rsid w:val="004201E1"/>
    <w:rsid w:val="00420B99"/>
    <w:rsid w:val="00437050"/>
    <w:rsid w:val="00443437"/>
    <w:rsid w:val="004448E0"/>
    <w:rsid w:val="004475CE"/>
    <w:rsid w:val="004B78E5"/>
    <w:rsid w:val="004C0C4A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645B3B"/>
    <w:rsid w:val="00673EAD"/>
    <w:rsid w:val="00680FE9"/>
    <w:rsid w:val="0068758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A252CC"/>
    <w:rsid w:val="00A40634"/>
    <w:rsid w:val="00A65C7B"/>
    <w:rsid w:val="00A675FA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40F9"/>
    <w:rsid w:val="00EA3B51"/>
    <w:rsid w:val="00ED1871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434</Words>
  <Characters>2480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80</cp:revision>
  <cp:lastPrinted>2017-10-09T14:04:00Z</cp:lastPrinted>
  <dcterms:created xsi:type="dcterms:W3CDTF">2017-10-09T01:30:00Z</dcterms:created>
  <dcterms:modified xsi:type="dcterms:W3CDTF">2021-06-15T13:09:00Z</dcterms:modified>
</cp:coreProperties>
</file>