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right"/>
      </w:pPr>
      <w:r>
        <w:rPr>
          <w:rFonts w:ascii="Calibri" w:hAnsi="Calibri"/>
          <w:color w:val="777777"/>
          <w:sz w:val="15"/>
        </w:rPr>
        <w:t>MERIDIAN TECHNOLOGIES, INC.  |  INVESTOR DAY — MARCH 11, 2026</w:t>
      </w:r>
    </w:p>
    <w:p>
      <w:pPr>
        <w:spacing w:before="0" w:after="160"/>
        <w:jc w:val="right"/>
      </w:pPr>
      <w:r>
        <w:rPr>
          <w:rFonts w:ascii="Calibri" w:hAnsi="Calibri"/>
          <w:color w:val="777777"/>
          <w:sz w:val="15"/>
        </w:rPr>
        <w:t>Catherine Park, President &amp; CEO  |  CONFIDENTIAL — PRE-RELEASE DRAFT</w:t>
      </w:r>
    </w:p>
    <w:p>
      <w:pPr>
        <w:spacing w:before="0" w:after="40"/>
      </w:pPr>
      <w:r>
        <w:rPr>
          <w:rFonts w:ascii="Calibri" w:hAnsi="Calibri"/>
          <w:b/>
          <w:color w:val="1A6FAD"/>
          <w:sz w:val="36"/>
        </w:rPr>
        <w:t>Investor Day Positioning Memo</w:t>
      </w:r>
    </w:p>
    <w:p>
      <w:pPr>
        <w:spacing w:before="0" w:after="120"/>
      </w:pPr>
      <w:r>
        <w:rPr>
          <w:rFonts w:ascii="Calibri" w:hAnsi="Calibri"/>
          <w:i/>
          <w:color w:val="777777"/>
          <w:sz w:val="21"/>
        </w:rPr>
        <w:t>The strategic position Meridian will declare on March 11 — and why.</w:t>
      </w:r>
    </w:p>
    <w:p>
      <w:pPr>
        <w:spacing w:before="80" w:after="160"/>
        <w:pBdr>
          <w:bottom w:val="single" w:sz="4" w:space="1" w:color="CCCCCC"/>
        </w:pBdr>
      </w:pPr>
    </w:p>
    <w:p>
      <w:pPr>
        <w:spacing w:before="200" w:after="40"/>
      </w:pPr>
      <w:r>
        <w:rPr>
          <w:rFonts w:ascii="Calibri" w:hAnsi="Calibri"/>
          <w:b/>
          <w:color w:val="1A6FAD"/>
          <w:sz w:val="15"/>
        </w:rPr>
        <w:t xml:space="preserve">EXEC SUMMARY  </w:t>
      </w:r>
      <w:r>
        <w:rPr>
          <w:rFonts w:ascii="Calibri" w:hAnsi="Calibri"/>
          <w:b/>
          <w:color w:val="1A6FAD"/>
          <w:sz w:val="23"/>
        </w:rPr>
        <w:t>The One Paragraph</w:t>
      </w:r>
    </w:p>
    <w:p>
      <w:pPr>
        <w:spacing w:before="0" w:after="80"/>
      </w:pPr>
      <w:r>
        <w:rPr>
          <w:rFonts w:ascii="Calibri" w:hAnsi="Calibri"/>
          <w:color w:val="444444"/>
          <w:sz w:val="20"/>
        </w:rPr>
        <w:t>On March 11, Meridian will declare itself the enterprise-grade agentic work platform built for the industries that cannot afford to get AI wrong. This is not a feature announcement — it is a category claim. It is made credible by three assets no competitor currently combines: the Helio agent framework, FedRAMP Moderate and HIPAA compliance with GxP in progress, and 125% NRR in the regulated-enterprise segment that values governance above raw AI horsepower. The claim requires us to commit publicly to hybrid consumption pricing in H2 2026, to deprioritize PM-adjacent feature work in favor of agent infrastructure, and to answer three investor questions directly: our model-lab neutrality stance, our SMB wind-down plan, and how we differentiate from Atlassian. This memo documents the position, the rationale, the competitive context, and the three commitments we are prepared to make on the record.</w:t>
      </w:r>
    </w:p>
    <w:p>
      <w:pPr>
        <w:spacing w:before="80" w:after="120"/>
        <w:pBdr>
          <w:bottom w:val="single" w:sz="4" w:space="1" w:color="CCCCCC"/>
        </w:pBdr>
      </w:pPr>
    </w:p>
    <w:p>
      <w:pPr>
        <w:spacing w:before="200" w:after="40"/>
      </w:pPr>
      <w:r>
        <w:rPr>
          <w:rFonts w:ascii="Calibri" w:hAnsi="Calibri"/>
          <w:b/>
          <w:color w:val="1A6FAD"/>
          <w:sz w:val="15"/>
        </w:rPr>
        <w:t xml:space="preserve">POSITION  </w:t>
      </w:r>
      <w:r>
        <w:rPr>
          <w:rFonts w:ascii="Calibri" w:hAnsi="Calibri"/>
          <w:b/>
          <w:color w:val="1A6FAD"/>
          <w:sz w:val="23"/>
        </w:rPr>
        <w:t>The Sentence We Will Defend for Three Years</w:t>
      </w:r>
    </w:p>
    <w:p>
      <w:pPr>
        <w:spacing w:before="80" w:after="80"/>
        <w:ind w:left="504" w:right="504"/>
      </w:pPr>
      <w:r>
        <w:rPr>
          <w:rFonts w:ascii="Calibri" w:hAnsi="Calibri"/>
          <w:b/>
          <w:i/>
          <w:color w:val="1A6FAD"/>
          <w:sz w:val="23"/>
        </w:rPr>
        <w:t>"Meridian is the only enterprise-grade agentic work platform built for the industries that cannot afford to get AI wrong."</w:t>
      </w:r>
    </w:p>
    <w:p>
      <w:pPr>
        <w:spacing w:before="120" w:after="120"/>
        <w:pBdr>
          <w:bottom w:val="single" w:sz="4" w:space="1" w:color="CCCCCC"/>
        </w:pBdr>
      </w:pPr>
    </w:p>
    <w:p>
      <w:pPr>
        <w:spacing w:before="200" w:after="40"/>
      </w:pPr>
      <w:r>
        <w:rPr>
          <w:rFonts w:ascii="Calibri" w:hAnsi="Calibri"/>
          <w:b/>
          <w:color w:val="1A6FAD"/>
          <w:sz w:val="15"/>
        </w:rPr>
        <w:t xml:space="preserve">WHY  </w:t>
      </w:r>
      <w:r>
        <w:rPr>
          <w:rFonts w:ascii="Calibri" w:hAnsi="Calibri"/>
          <w:b/>
          <w:color w:val="1A6FAD"/>
          <w:sz w:val="23"/>
        </w:rPr>
        <w:t>The Strategic Logic</w:t>
      </w:r>
    </w:p>
    <w:p>
      <w:pPr>
        <w:pStyle w:val="ListBullet"/>
        <w:spacing w:before="20" w:after="40"/>
        <w:ind w:left="360"/>
      </w:pPr>
      <w:r>
        <w:rPr>
          <w:rFonts w:ascii="Calibri" w:hAnsi="Calibri"/>
          <w:b/>
          <w:color w:val="1A6FAD"/>
          <w:sz w:val="19"/>
        </w:rPr>
        <w:t xml:space="preserve">The white space is real. </w:t>
      </w:r>
      <w:r>
        <w:rPr>
          <w:rFonts w:ascii="Calibri" w:hAnsi="Calibri"/>
          <w:color w:val="444444"/>
          <w:sz w:val="19"/>
        </w:rPr>
        <w:t>No competitor currently occupies the enterprise-governed agentic quadrant at scale. Asana and Monday are agentic in language, bundled in pricing, and thin on governance. Smartsheet has governance but has explicitly retreated from agentic positioning. Atlassian is the closest comparable — but lives in software/dev/IT, not in pharma, banking, or general enterprise PM.</w:t>
      </w:r>
    </w:p>
    <w:p>
      <w:pPr>
        <w:pStyle w:val="ListBullet"/>
        <w:spacing w:before="20" w:after="40"/>
        <w:ind w:left="360"/>
      </w:pPr>
      <w:r>
        <w:rPr>
          <w:rFonts w:ascii="Calibri" w:hAnsi="Calibri"/>
          <w:b/>
          <w:color w:val="1A6FAD"/>
          <w:sz w:val="19"/>
        </w:rPr>
        <w:t xml:space="preserve">Our moat is the slow work. </w:t>
      </w:r>
      <w:r>
        <w:rPr>
          <w:rFonts w:ascii="Calibri" w:hAnsi="Calibri"/>
          <w:color w:val="444444"/>
          <w:sz w:val="19"/>
        </w:rPr>
        <w:t>FedRAMP Moderate, HIPAA, and nascent GxP take 12–18 months to build and require sustained regulatory relationships. AI-native upstarts cannot replicate it quickly. Asana and Monday have not prioritized it. This is the asset that makes the governance claim durable, not just rhetorical.</w:t>
      </w:r>
    </w:p>
    <w:p>
      <w:pPr>
        <w:pStyle w:val="ListBullet"/>
        <w:spacing w:before="20" w:after="40"/>
        <w:ind w:left="360"/>
      </w:pPr>
      <w:r>
        <w:rPr>
          <w:rFonts w:ascii="Calibri" w:hAnsi="Calibri"/>
          <w:b/>
          <w:color w:val="1A6FAD"/>
          <w:sz w:val="19"/>
        </w:rPr>
        <w:t xml:space="preserve">Customer demand is explicit. </w:t>
      </w:r>
      <w:r>
        <w:rPr>
          <w:rFonts w:ascii="Calibri" w:hAnsi="Calibri"/>
          <w:color w:val="444444"/>
          <w:sz w:val="19"/>
        </w:rPr>
        <w:t>18 of 22 enterprise advisory board sessions in Q4 2025 specifically requested auditability, role-based agent permissions, model selection controls, and data residency enforcement. That is a governance-for-agents checklist — and it maps directly to what Option B delivers.</w:t>
      </w:r>
    </w:p>
    <w:p>
      <w:pPr>
        <w:pStyle w:val="ListBullet"/>
        <w:spacing w:before="20" w:after="40"/>
        <w:ind w:left="360"/>
      </w:pPr>
      <w:r>
        <w:rPr>
          <w:rFonts w:ascii="Calibri" w:hAnsi="Calibri"/>
          <w:b/>
          <w:color w:val="1A6FAD"/>
          <w:sz w:val="19"/>
        </w:rPr>
        <w:t xml:space="preserve">The Helio acquisition made the claim buildable. </w:t>
      </w:r>
      <w:r>
        <w:rPr>
          <w:rFonts w:ascii="Calibri" w:hAnsi="Calibri"/>
          <w:color w:val="444444"/>
          <w:sz w:val="19"/>
        </w:rPr>
        <w:t>The agent framework Helio brought compresses our roadmap by an estimated 15 months. Without it, Option B is an aspiration. With it, Option B has an engineering foundation and a team of 26 that joined specifically to build this.</w:t>
      </w:r>
    </w:p>
    <w:p>
      <w:pPr>
        <w:spacing w:before="120" w:after="120"/>
        <w:pBdr>
          <w:bottom w:val="single" w:sz="4" w:space="1" w:color="CCCCCC"/>
        </w:pBdr>
      </w:pPr>
    </w:p>
    <w:p>
      <w:pPr>
        <w:spacing w:before="200" w:after="40"/>
      </w:pPr>
      <w:r>
        <w:rPr>
          <w:rFonts w:ascii="Calibri" w:hAnsi="Calibri"/>
          <w:b/>
          <w:color w:val="1A6FAD"/>
          <w:sz w:val="15"/>
        </w:rPr>
        <w:t xml:space="preserve">COMPETITIVE CONTEXT  </w:t>
      </w:r>
      <w:r>
        <w:rPr>
          <w:rFonts w:ascii="Calibri" w:hAnsi="Calibri"/>
          <w:b/>
          <w:color w:val="1A6FAD"/>
          <w:sz w:val="23"/>
        </w:rPr>
        <w:t>Where Each Competitor Stands</w:t>
      </w:r>
    </w:p>
    <w:p>
      <w:pPr>
        <w:spacing w:before="0" w:after="100"/>
      </w:pPr>
      <w:r>
        <w:rPr>
          <w:rFonts w:ascii="Calibri" w:hAnsi="Calibri"/>
          <w:color w:val="777777"/>
          <w:sz w:val="17"/>
        </w:rPr>
        <w:t>See also: competitive_positioning_matrix.png (appended). All data from cached public sources, February 2026.</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c>
          <w:tcPr>
            <w:tcW w:type="dxa" w:w="1512"/>
            <w:shd w:val="clear" w:color="auto" w:fill="1a6fad"/>
          </w:tcPr>
          <w:p>
            <w:pPr>
              <w:spacing w:before="40" w:after="40"/>
              <w:ind w:left="60"/>
              <w:jc w:val="center"/>
            </w:pPr>
            <w:r/>
            <w:r>
              <w:rPr>
                <w:rFonts w:ascii="Calibri" w:hAnsi="Calibri"/>
                <w:b/>
                <w:color w:val="FFFFFF"/>
                <w:sz w:val="17"/>
              </w:rPr>
              <w:t>Competitor</w:t>
            </w:r>
          </w:p>
        </w:tc>
        <w:tc>
          <w:tcPr>
            <w:tcW w:type="dxa" w:w="2232"/>
            <w:shd w:val="clear" w:color="auto" w:fill="1a6fad"/>
          </w:tcPr>
          <w:p>
            <w:pPr>
              <w:spacing w:before="40" w:after="40"/>
              <w:ind w:left="60"/>
              <w:jc w:val="center"/>
            </w:pPr>
            <w:r/>
            <w:r>
              <w:rPr>
                <w:rFonts w:ascii="Calibri" w:hAnsi="Calibri"/>
                <w:b/>
                <w:color w:val="FFFFFF"/>
                <w:sz w:val="17"/>
              </w:rPr>
              <w:t>AI Positioning</w:t>
            </w:r>
          </w:p>
        </w:tc>
        <w:tc>
          <w:tcPr>
            <w:tcW w:type="dxa" w:w="1800"/>
            <w:shd w:val="clear" w:color="auto" w:fill="1a6fad"/>
          </w:tcPr>
          <w:p>
            <w:pPr>
              <w:spacing w:before="40" w:after="40"/>
              <w:ind w:left="60"/>
              <w:jc w:val="center"/>
            </w:pPr>
            <w:r/>
            <w:r>
              <w:rPr>
                <w:rFonts w:ascii="Calibri" w:hAnsi="Calibri"/>
                <w:b/>
                <w:color w:val="FFFFFF"/>
                <w:sz w:val="17"/>
              </w:rPr>
              <w:t>Pricing Posture</w:t>
            </w:r>
          </w:p>
        </w:tc>
        <w:tc>
          <w:tcPr>
            <w:tcW w:type="dxa" w:w="2664"/>
            <w:shd w:val="clear" w:color="auto" w:fill="1a6fad"/>
          </w:tcPr>
          <w:p>
            <w:pPr>
              <w:spacing w:before="40" w:after="40"/>
              <w:ind w:left="60"/>
              <w:jc w:val="center"/>
            </w:pPr>
            <w:r/>
            <w:r>
              <w:rPr>
                <w:rFonts w:ascii="Calibri" w:hAnsi="Calibri"/>
                <w:b/>
                <w:color w:val="FFFFFF"/>
                <w:sz w:val="17"/>
              </w:rPr>
              <w:t>Latest Flagship (≤6 mo)</w:t>
            </w:r>
          </w:p>
        </w:tc>
        <w:tc>
          <w:tcPr>
            <w:tcW w:type="dxa" w:w="1296"/>
            <w:shd w:val="clear" w:color="auto" w:fill="1a6fad"/>
          </w:tcPr>
          <w:p>
            <w:pPr>
              <w:spacing w:before="40" w:after="40"/>
              <w:ind w:left="60"/>
              <w:jc w:val="center"/>
            </w:pPr>
            <w:r/>
            <w:r>
              <w:rPr>
                <w:rFonts w:ascii="Calibri" w:hAnsi="Calibri"/>
                <w:b/>
                <w:color w:val="FFFFFF"/>
                <w:sz w:val="17"/>
              </w:rPr>
              <w:t>vs. Meridian</w:t>
              <w:br/>
              <w:t>Option</w:t>
            </w:r>
          </w:p>
        </w:tc>
      </w:tr>
      <w:tr>
        <w:tc>
          <w:tcPr>
            <w:tcW w:type="dxa" w:w="1512"/>
            <w:shd w:val="clear" w:color="auto" w:fill="F5F5F5"/>
          </w:tcPr>
          <w:p>
            <w:pPr>
              <w:spacing w:before="40" w:after="40"/>
              <w:ind w:left="60"/>
              <w:jc w:val="left"/>
            </w:pPr>
            <w:r/>
            <w:r>
              <w:rPr>
                <w:rFonts w:ascii="Calibri" w:hAnsi="Calibri"/>
                <w:b/>
                <w:color w:val="1A1A1A"/>
                <w:sz w:val="17"/>
              </w:rPr>
              <w:t>Asana</w:t>
            </w:r>
          </w:p>
        </w:tc>
        <w:tc>
          <w:tcPr>
            <w:tcW w:type="dxa" w:w="2232"/>
            <w:shd w:val="clear" w:color="auto" w:fill="F5F5F5"/>
          </w:tcPr>
          <w:p>
            <w:pPr>
              <w:spacing w:before="40" w:after="40"/>
              <w:ind w:left="60"/>
              <w:jc w:val="left"/>
            </w:pPr>
            <w:r/>
            <w:r>
              <w:rPr>
                <w:rFonts w:ascii="Calibri" w:hAnsi="Calibri"/>
                <w:b w:val="0"/>
                <w:color w:val="444444"/>
                <w:sz w:val="17"/>
              </w:rPr>
              <w:t>"Agent operating</w:t>
              <w:br/>
              <w:t>system" — AI bundled</w:t>
              <w:br/>
              <w:t>into Adv/Enterprise</w:t>
            </w:r>
          </w:p>
        </w:tc>
        <w:tc>
          <w:tcPr>
            <w:tcW w:type="dxa" w:w="1800"/>
            <w:shd w:val="clear" w:color="auto" w:fill="F5F5F5"/>
          </w:tcPr>
          <w:p>
            <w:pPr>
              <w:spacing w:before="40" w:after="40"/>
              <w:ind w:left="60"/>
              <w:jc w:val="left"/>
            </w:pPr>
            <w:r/>
            <w:r>
              <w:rPr>
                <w:rFonts w:ascii="Calibri" w:hAnsi="Calibri"/>
                <w:b w:val="0"/>
                <w:color w:val="444444"/>
                <w:sz w:val="17"/>
              </w:rPr>
              <w:t>Bundled (Adv+);</w:t>
              <w:br/>
              <w:t>no consumption</w:t>
            </w:r>
          </w:p>
        </w:tc>
        <w:tc>
          <w:tcPr>
            <w:tcW w:type="dxa" w:w="2664"/>
            <w:shd w:val="clear" w:color="auto" w:fill="F5F5F5"/>
          </w:tcPr>
          <w:p>
            <w:pPr>
              <w:spacing w:before="40" w:after="40"/>
              <w:ind w:left="60"/>
              <w:jc w:val="left"/>
            </w:pPr>
            <w:r/>
            <w:r>
              <w:rPr>
                <w:rFonts w:ascii="Calibri" w:hAnsi="Calibri"/>
                <w:b w:val="0"/>
                <w:color w:val="444444"/>
                <w:sz w:val="17"/>
              </w:rPr>
              <w:t>Nov 2025: AI Studio</w:t>
              <w:br/>
              <w:t>&amp; Smart Workflows</w:t>
              <w:br/>
              <w:t>bundled at no cost</w:t>
            </w:r>
          </w:p>
        </w:tc>
        <w:tc>
          <w:tcPr>
            <w:tcW w:type="dxa" w:w="1296"/>
            <w:shd w:val="clear" w:color="auto" w:fill="F5F5F5"/>
          </w:tcPr>
          <w:p>
            <w:pPr>
              <w:spacing w:before="40" w:after="40"/>
              <w:ind w:left="60"/>
              <w:jc w:val="center"/>
            </w:pPr>
            <w:r/>
            <w:r>
              <w:rPr>
                <w:rFonts w:ascii="Calibri" w:hAnsi="Calibri"/>
                <w:b/>
                <w:color w:val="E05252"/>
                <w:sz w:val="17"/>
              </w:rPr>
              <w:t>Option B</w:t>
              <w:br/>
              <w:t>(no governance)</w:t>
            </w:r>
          </w:p>
        </w:tc>
      </w:tr>
      <w:tr>
        <w:tc>
          <w:tcPr>
            <w:tcW w:type="dxa" w:w="1512"/>
            <w:shd w:val="clear" w:color="auto" w:fill="FFFFFF"/>
          </w:tcPr>
          <w:p>
            <w:pPr>
              <w:spacing w:before="40" w:after="40"/>
              <w:ind w:left="60"/>
              <w:jc w:val="left"/>
            </w:pPr>
            <w:r/>
            <w:r>
              <w:rPr>
                <w:rFonts w:ascii="Calibri" w:hAnsi="Calibri"/>
                <w:b/>
                <w:color w:val="1A1A1A"/>
                <w:sz w:val="17"/>
              </w:rPr>
              <w:t>Monday.com</w:t>
            </w:r>
          </w:p>
        </w:tc>
        <w:tc>
          <w:tcPr>
            <w:tcW w:type="dxa" w:w="2232"/>
            <w:shd w:val="clear" w:color="auto" w:fill="FFFFFF"/>
          </w:tcPr>
          <w:p>
            <w:pPr>
              <w:spacing w:before="40" w:after="40"/>
              <w:ind w:left="60"/>
              <w:jc w:val="left"/>
            </w:pPr>
            <w:r/>
            <w:r>
              <w:rPr>
                <w:rFonts w:ascii="Calibri" w:hAnsi="Calibri"/>
                <w:b w:val="0"/>
                <w:color w:val="444444"/>
                <w:sz w:val="17"/>
              </w:rPr>
              <w:t>"Work OS super-</w:t>
              <w:br/>
              <w:t>charged with AI" —</w:t>
              <w:br/>
              <w:t>AI layer everywhere</w:t>
            </w:r>
          </w:p>
        </w:tc>
        <w:tc>
          <w:tcPr>
            <w:tcW w:type="dxa" w:w="1800"/>
            <w:shd w:val="clear" w:color="auto" w:fill="FFFFFF"/>
          </w:tcPr>
          <w:p>
            <w:pPr>
              <w:spacing w:before="40" w:after="40"/>
              <w:ind w:left="60"/>
              <w:jc w:val="left"/>
            </w:pPr>
            <w:r/>
            <w:r>
              <w:rPr>
                <w:rFonts w:ascii="Calibri" w:hAnsi="Calibri"/>
                <w:b w:val="0"/>
                <w:color w:val="444444"/>
                <w:sz w:val="17"/>
              </w:rPr>
              <w:t>Bundled (Pro+);</w:t>
              <w:br/>
              <w:t>no consumption;</w:t>
              <w:br/>
              <w:t>price-aggressive</w:t>
            </w:r>
          </w:p>
        </w:tc>
        <w:tc>
          <w:tcPr>
            <w:tcW w:type="dxa" w:w="2664"/>
            <w:shd w:val="clear" w:color="auto" w:fill="FFFFFF"/>
          </w:tcPr>
          <w:p>
            <w:pPr>
              <w:spacing w:before="40" w:after="40"/>
              <w:ind w:left="60"/>
              <w:jc w:val="left"/>
            </w:pPr>
            <w:r/>
            <w:r>
              <w:rPr>
                <w:rFonts w:ascii="Calibri" w:hAnsi="Calibri"/>
                <w:b w:val="0"/>
                <w:color w:val="444444"/>
                <w:sz w:val="17"/>
              </w:rPr>
              <w:t>Jan 2026: monday AI</w:t>
              <w:br/>
              <w:t>Agents GA, bundled</w:t>
              <w:br/>
              <w:t>into Pro+</w:t>
            </w:r>
          </w:p>
        </w:tc>
        <w:tc>
          <w:tcPr>
            <w:tcW w:type="dxa" w:w="1296"/>
            <w:shd w:val="clear" w:color="auto" w:fill="FFFFFF"/>
          </w:tcPr>
          <w:p>
            <w:pPr>
              <w:spacing w:before="40" w:after="40"/>
              <w:ind w:left="60"/>
              <w:jc w:val="center"/>
            </w:pPr>
            <w:r/>
            <w:r>
              <w:rPr>
                <w:rFonts w:ascii="Calibri" w:hAnsi="Calibri"/>
                <w:b/>
                <w:color w:val="F5A623"/>
                <w:sz w:val="17"/>
              </w:rPr>
              <w:t>Neither cleanly</w:t>
              <w:br/>
              <w:t>(breadth play)</w:t>
            </w:r>
          </w:p>
        </w:tc>
      </w:tr>
      <w:tr>
        <w:tc>
          <w:tcPr>
            <w:tcW w:type="dxa" w:w="1512"/>
            <w:shd w:val="clear" w:color="auto" w:fill="F5F5F5"/>
          </w:tcPr>
          <w:p>
            <w:pPr>
              <w:spacing w:before="40" w:after="40"/>
              <w:ind w:left="60"/>
              <w:jc w:val="left"/>
            </w:pPr>
            <w:r/>
            <w:r>
              <w:rPr>
                <w:rFonts w:ascii="Calibri" w:hAnsi="Calibri"/>
                <w:b/>
                <w:color w:val="1A1A1A"/>
                <w:sz w:val="17"/>
              </w:rPr>
              <w:t>Smartsheet</w:t>
            </w:r>
          </w:p>
        </w:tc>
        <w:tc>
          <w:tcPr>
            <w:tcW w:type="dxa" w:w="2232"/>
            <w:shd w:val="clear" w:color="auto" w:fill="F5F5F5"/>
          </w:tcPr>
          <w:p>
            <w:pPr>
              <w:spacing w:before="40" w:after="40"/>
              <w:ind w:left="60"/>
              <w:jc w:val="left"/>
            </w:pPr>
            <w:r/>
            <w:r>
              <w:rPr>
                <w:rFonts w:ascii="Calibri" w:hAnsi="Calibri"/>
                <w:b w:val="0"/>
                <w:color w:val="444444"/>
                <w:sz w:val="17"/>
              </w:rPr>
              <w:t>"Enterprise work</w:t>
              <w:br/>
              <w:t>platform you can</w:t>
              <w:br/>
              <w:t>trust with AI"</w:t>
            </w:r>
          </w:p>
        </w:tc>
        <w:tc>
          <w:tcPr>
            <w:tcW w:type="dxa" w:w="1800"/>
            <w:shd w:val="clear" w:color="auto" w:fill="F5F5F5"/>
          </w:tcPr>
          <w:p>
            <w:pPr>
              <w:spacing w:before="40" w:after="40"/>
              <w:ind w:left="60"/>
              <w:jc w:val="left"/>
            </w:pPr>
            <w:r/>
            <w:r>
              <w:rPr>
                <w:rFonts w:ascii="Calibri" w:hAnsi="Calibri"/>
                <w:b w:val="0"/>
                <w:color w:val="444444"/>
                <w:sz w:val="17"/>
              </w:rPr>
              <w:t>AI bundled (Bus/Ent);</w:t>
              <w:br/>
              <w:t>Compliance Pack</w:t>
              <w:br/>
              <w:t>+$15/seat add-on</w:t>
            </w:r>
          </w:p>
        </w:tc>
        <w:tc>
          <w:tcPr>
            <w:tcW w:type="dxa" w:w="2664"/>
            <w:shd w:val="clear" w:color="auto" w:fill="F5F5F5"/>
          </w:tcPr>
          <w:p>
            <w:pPr>
              <w:spacing w:before="40" w:after="40"/>
              <w:ind w:left="60"/>
              <w:jc w:val="left"/>
            </w:pPr>
            <w:r/>
            <w:r>
              <w:rPr>
                <w:rFonts w:ascii="Calibri" w:hAnsi="Calibri"/>
                <w:b w:val="0"/>
                <w:color w:val="444444"/>
                <w:sz w:val="17"/>
              </w:rPr>
              <w:t>Dec 2025: AI</w:t>
              <w:br/>
              <w:t>Compliance Pack —</w:t>
              <w:br/>
              <w:t>audit, model select</w:t>
            </w:r>
          </w:p>
        </w:tc>
        <w:tc>
          <w:tcPr>
            <w:tcW w:type="dxa" w:w="1296"/>
            <w:shd w:val="clear" w:color="auto" w:fill="F5F5F5"/>
          </w:tcPr>
          <w:p>
            <w:pPr>
              <w:spacing w:before="40" w:after="40"/>
              <w:ind w:left="60"/>
              <w:jc w:val="center"/>
            </w:pPr>
            <w:r/>
            <w:r>
              <w:rPr>
                <w:rFonts w:ascii="Calibri" w:hAnsi="Calibri"/>
                <w:b/>
                <w:color w:val="777777"/>
                <w:sz w:val="17"/>
              </w:rPr>
              <w:t>Option A</w:t>
              <w:br/>
              <w:t>(explicit)</w:t>
            </w:r>
          </w:p>
        </w:tc>
      </w:tr>
      <w:tr>
        <w:tc>
          <w:tcPr>
            <w:tcW w:type="dxa" w:w="1512"/>
            <w:shd w:val="clear" w:color="auto" w:fill="FFFFFF"/>
          </w:tcPr>
          <w:p>
            <w:pPr>
              <w:spacing w:before="40" w:after="40"/>
              <w:ind w:left="60"/>
              <w:jc w:val="left"/>
            </w:pPr>
            <w:r/>
            <w:r>
              <w:rPr>
                <w:rFonts w:ascii="Calibri" w:hAnsi="Calibri"/>
                <w:b/>
                <w:color w:val="1A1A1A"/>
                <w:sz w:val="17"/>
              </w:rPr>
              <w:t>Atlassian</w:t>
            </w:r>
          </w:p>
        </w:tc>
        <w:tc>
          <w:tcPr>
            <w:tcW w:type="dxa" w:w="2232"/>
            <w:shd w:val="clear" w:color="auto" w:fill="FFFFFF"/>
          </w:tcPr>
          <w:p>
            <w:pPr>
              <w:spacing w:before="40" w:after="40"/>
              <w:ind w:left="60"/>
              <w:jc w:val="left"/>
            </w:pPr>
            <w:r/>
            <w:r>
              <w:rPr>
                <w:rFonts w:ascii="Calibri" w:hAnsi="Calibri"/>
                <w:b w:val="0"/>
                <w:color w:val="444444"/>
                <w:sz w:val="17"/>
              </w:rPr>
              <w:t>"Agentic enterprise</w:t>
              <w:br/>
              <w:t>platform" — Rovo;</w:t>
              <w:br/>
              <w:t>CEO: agent rev &gt;</w:t>
              <w:br/>
              <w:t>product rev by 2028</w:t>
            </w:r>
          </w:p>
        </w:tc>
        <w:tc>
          <w:tcPr>
            <w:tcW w:type="dxa" w:w="1800"/>
            <w:shd w:val="clear" w:color="auto" w:fill="FFFFFF"/>
          </w:tcPr>
          <w:p>
            <w:pPr>
              <w:spacing w:before="40" w:after="40"/>
              <w:ind w:left="60"/>
              <w:jc w:val="left"/>
            </w:pPr>
            <w:r/>
            <w:r>
              <w:rPr>
                <w:rFonts w:ascii="Calibri" w:hAnsi="Calibri"/>
                <w:b w:val="0"/>
                <w:color w:val="444444"/>
                <w:sz w:val="17"/>
              </w:rPr>
              <w:t>Per-seat + per-action</w:t>
              <w:br/>
              <w:t>consumption (Rovo);</w:t>
              <w:br/>
              <w:t>only competitor</w:t>
              <w:br/>
              <w:t>with live consumption</w:t>
            </w:r>
          </w:p>
        </w:tc>
        <w:tc>
          <w:tcPr>
            <w:tcW w:type="dxa" w:w="2664"/>
            <w:shd w:val="clear" w:color="auto" w:fill="FFFFFF"/>
          </w:tcPr>
          <w:p>
            <w:pPr>
              <w:spacing w:before="40" w:after="40"/>
              <w:ind w:left="60"/>
              <w:jc w:val="left"/>
            </w:pPr>
            <w:r/>
            <w:r>
              <w:rPr>
                <w:rFonts w:ascii="Calibri" w:hAnsi="Calibri"/>
                <w:b w:val="0"/>
                <w:color w:val="444444"/>
                <w:sz w:val="17"/>
              </w:rPr>
              <w:t>Jan 2026: Rovo Studio</w:t>
              <w:br/>
              <w:t>agent builder for</w:t>
              <w:br/>
              <w:t>Jira/Confluence</w:t>
            </w:r>
          </w:p>
        </w:tc>
        <w:tc>
          <w:tcPr>
            <w:tcW w:type="dxa" w:w="1296"/>
            <w:shd w:val="clear" w:color="auto" w:fill="FFFFFF"/>
          </w:tcPr>
          <w:p>
            <w:pPr>
              <w:spacing w:before="40" w:after="40"/>
              <w:ind w:left="60"/>
              <w:jc w:val="center"/>
            </w:pPr>
            <w:r/>
            <w:r>
              <w:rPr>
                <w:rFonts w:ascii="Calibri" w:hAnsi="Calibri"/>
                <w:b/>
                <w:color w:val="1A6FAD"/>
                <w:sz w:val="17"/>
              </w:rPr>
              <w:t>Option B</w:t>
              <w:br/>
              <w:t>(dev/IT only)</w:t>
            </w:r>
          </w:p>
        </w:tc>
      </w:tr>
      <w:tr>
        <w:tc>
          <w:tcPr>
            <w:tcW w:type="dxa" w:w="1512"/>
          </w:tcPr>
          <w:p/>
        </w:tc>
        <w:tc>
          <w:tcPr>
            <w:tcW w:type="dxa" w:w="2232"/>
          </w:tcPr>
          <w:p/>
        </w:tc>
        <w:tc>
          <w:tcPr>
            <w:tcW w:type="dxa" w:w="1800"/>
          </w:tcPr>
          <w:p/>
        </w:tc>
        <w:tc>
          <w:tcPr>
            <w:tcW w:type="dxa" w:w="2664"/>
          </w:tcPr>
          <w:p/>
        </w:tc>
        <w:tc>
          <w:tcPr>
            <w:tcW w:type="dxa" w:w="1296"/>
          </w:tcPr>
          <w:p/>
        </w:tc>
      </w:tr>
    </w:tbl>
    <w:p>
      <w:r>
        <w:br w:type="page"/>
      </w:r>
    </w:p>
    <w:p>
      <w:pPr>
        <w:spacing w:before="0" w:after="160"/>
        <w:pBdr>
          <w:bottom w:val="single" w:sz="4" w:space="1" w:color="CCCCCC"/>
        </w:pBdr>
      </w:pPr>
    </w:p>
    <w:p>
      <w:pPr>
        <w:spacing w:before="200" w:after="40"/>
      </w:pPr>
      <w:r>
        <w:rPr>
          <w:rFonts w:ascii="Calibri" w:hAnsi="Calibri"/>
          <w:b/>
          <w:color w:val="E05252"/>
          <w:sz w:val="15"/>
        </w:rPr>
        <w:t xml:space="preserve">RISKS  </w:t>
      </w:r>
      <w:r>
        <w:rPr>
          <w:rFonts w:ascii="Calibri" w:hAnsi="Calibri"/>
          <w:b/>
          <w:color w:val="E05252"/>
          <w:sz w:val="23"/>
        </w:rPr>
        <w:t>Three We Are Prepared to Discuss Publicly</w:t>
      </w:r>
    </w:p>
    <w:p>
      <w:pPr>
        <w:pStyle w:val="ListBullet"/>
        <w:spacing w:before="20" w:after="40"/>
        <w:ind w:left="360"/>
      </w:pPr>
      <w:r>
        <w:rPr>
          <w:rFonts w:ascii="Calibri" w:hAnsi="Calibri"/>
          <w:b/>
          <w:color w:val="E05252"/>
          <w:sz w:val="19"/>
        </w:rPr>
        <w:t xml:space="preserve">The revenue air gap. </w:t>
      </w:r>
      <w:r>
        <w:rPr>
          <w:rFonts w:ascii="Calibri" w:hAnsi="Calibri"/>
          <w:color w:val="444444"/>
          <w:sz w:val="19"/>
        </w:rPr>
        <w:t>We are publicly de-emphasizing the PM motion before agentic revenue replaces it. AI Copilot generated $3.5M ARR in its first year. The gap between legacy revenue at risk (mid-market NRR compressing toward 100%) and new agentic revenue ramping is real. Mitigation: $506M in liquidity, 17% FCF margin, and a board-level mid-market NRR floor of 100% with a 30-day remediation trigger.</w:t>
      </w:r>
    </w:p>
    <w:p>
      <w:pPr>
        <w:pStyle w:val="ListBullet"/>
        <w:spacing w:before="20" w:after="40"/>
        <w:ind w:left="360"/>
      </w:pPr>
      <w:r>
        <w:rPr>
          <w:rFonts w:ascii="Calibri" w:hAnsi="Calibri"/>
          <w:b/>
          <w:color w:val="E05252"/>
          <w:sz w:val="19"/>
        </w:rPr>
        <w:t xml:space="preserve">Helio retention. </w:t>
      </w:r>
      <w:r>
        <w:rPr>
          <w:rFonts w:ascii="Calibri" w:hAnsi="Calibri"/>
          <w:color w:val="444444"/>
          <w:sz w:val="19"/>
        </w:rPr>
        <w:t>The agent-builder roadmap — the technical foundation of Option B — depends on retaining the 26 Helio engineers through a compensation cliff in 2026. Mitigation: the board has approved a retention package refresh; details are not public but the cliff has been addressed.</w:t>
      </w:r>
    </w:p>
    <w:p>
      <w:pPr>
        <w:pStyle w:val="ListBullet"/>
        <w:spacing w:before="20" w:after="40"/>
        <w:ind w:left="360"/>
      </w:pPr>
      <w:r>
        <w:rPr>
          <w:rFonts w:ascii="Calibri" w:hAnsi="Calibri"/>
          <w:b/>
          <w:color w:val="E05252"/>
          <w:sz w:val="19"/>
        </w:rPr>
        <w:t xml:space="preserve">Atlassian closes the vertical gap. </w:t>
      </w:r>
      <w:r>
        <w:rPr>
          <w:rFonts w:ascii="Calibri" w:hAnsi="Calibri"/>
          <w:color w:val="444444"/>
          <w:sz w:val="19"/>
        </w:rPr>
        <w:t>Atlassian is in the same competitive quadrant and could acquire regulated-industry capabilities within 12–18 months. Mitigation: we are 12+ months ahead of any competitor on FedRAMP/HIPAA in this category, and GxP creates a further barrier specifically in pharma, where Atlassian has no meaningful presence.</w:t>
      </w:r>
    </w:p>
    <w:p>
      <w:pPr>
        <w:spacing w:before="160" w:after="120"/>
        <w:pBdr>
          <w:bottom w:val="single" w:sz="4" w:space="1" w:color="CCCCCC"/>
        </w:pBdr>
      </w:pPr>
    </w:p>
    <w:p>
      <w:pPr>
        <w:spacing w:before="200" w:after="40"/>
      </w:pPr>
      <w:r>
        <w:rPr>
          <w:rFonts w:ascii="Calibri" w:hAnsi="Calibri"/>
          <w:b/>
          <w:color w:val="2ECC71"/>
          <w:sz w:val="15"/>
        </w:rPr>
        <w:t xml:space="preserve">COMMITMENTS  </w:t>
      </w:r>
      <w:r>
        <w:rPr>
          <w:rFonts w:ascii="Calibri" w:hAnsi="Calibri"/>
          <w:b/>
          <w:color w:val="2ECC71"/>
          <w:sz w:val="23"/>
        </w:rPr>
        <w:t>Three Things We Are Putting on the Record Today</w:t>
      </w:r>
    </w:p>
    <w:p>
      <w:pPr>
        <w:pStyle w:val="ListBullet"/>
        <w:spacing w:before="20" w:after="40"/>
        <w:ind w:left="360"/>
      </w:pPr>
      <w:r>
        <w:rPr>
          <w:rFonts w:ascii="Calibri" w:hAnsi="Calibri"/>
          <w:b/>
          <w:color w:val="2ECC71"/>
          <w:sz w:val="19"/>
        </w:rPr>
        <w:t xml:space="preserve">Consumption pricing in H2 2026. </w:t>
      </w:r>
      <w:r>
        <w:rPr>
          <w:rFonts w:ascii="Calibri" w:hAnsi="Calibri"/>
          <w:color w:val="444444"/>
          <w:sz w:val="19"/>
        </w:rPr>
        <w:t>We will announce a hybrid pricing model at Investor Day: per-seat for the legacy PM platform, per-seat plus agent-action consumption for the agentic tier. We will report consumption ARR as a separate line starting Q3 2026.</w:t>
      </w:r>
    </w:p>
    <w:p>
      <w:pPr>
        <w:pStyle w:val="ListBullet"/>
        <w:spacing w:before="20" w:after="40"/>
        <w:ind w:left="360"/>
      </w:pPr>
      <w:r>
        <w:rPr>
          <w:rFonts w:ascii="Calibri" w:hAnsi="Calibri"/>
          <w:b/>
          <w:color w:val="2ECC71"/>
          <w:sz w:val="19"/>
        </w:rPr>
        <w:t xml:space="preserve">Model neutrality — permanently. </w:t>
      </w:r>
      <w:r>
        <w:rPr>
          <w:rFonts w:ascii="Calibri" w:hAnsi="Calibri"/>
          <w:color w:val="444444"/>
          <w:sz w:val="19"/>
        </w:rPr>
        <w:t>Meridian will not enter an exclusive model-lab partnership. Our agent platform will support customer-selected models (Claude, GPT, internal models) with admin-level model pinning as a standard enterprise feature. We will name this capability publicly at Investor Day.</w:t>
      </w:r>
    </w:p>
    <w:p>
      <w:pPr>
        <w:pStyle w:val="ListBullet"/>
        <w:spacing w:before="20" w:after="40"/>
        <w:ind w:left="360"/>
      </w:pPr>
      <w:r>
        <w:rPr>
          <w:rFonts w:ascii="Calibri" w:hAnsi="Calibri"/>
          <w:b/>
          <w:color w:val="2ECC71"/>
          <w:sz w:val="19"/>
        </w:rPr>
        <w:t xml:space="preserve">Enterprise agent governance suite in Q1 2026, on time. </w:t>
      </w:r>
      <w:r>
        <w:rPr>
          <w:rFonts w:ascii="Calibri" w:hAnsi="Calibri"/>
          <w:color w:val="444444"/>
          <w:sz w:val="19"/>
        </w:rPr>
        <w:t>Audit logs, role-based agent permissions, model selection controls, and EU data residency will ship in Q1 2026 as committed. This is the product proof point that makes the positioning claim credible on day one. We will reference three named enterprise lighthouse customers at the event.</w:t>
      </w:r>
    </w:p>
    <w:p>
      <w:pPr>
        <w:spacing w:before="160" w:after="120"/>
        <w:pBdr>
          <w:bottom w:val="single" w:sz="4" w:space="1" w:color="CCCCCC"/>
        </w:pBdr>
      </w:pPr>
    </w:p>
    <w:p>
      <w:pPr>
        <w:spacing w:before="200" w:after="40"/>
      </w:pPr>
      <w:r>
        <w:rPr>
          <w:rFonts w:ascii="Calibri" w:hAnsi="Calibri"/>
          <w:b/>
          <w:color w:val="1A6FAD"/>
          <w:sz w:val="15"/>
        </w:rPr>
        <w:t xml:space="preserve">APPENDIX  </w:t>
      </w:r>
      <w:r>
        <w:rPr>
          <w:rFonts w:ascii="Calibri" w:hAnsi="Calibri"/>
          <w:b/>
          <w:color w:val="1A6FAD"/>
          <w:sz w:val="23"/>
        </w:rPr>
        <w:t>Competitive Positioning Matrix</w:t>
      </w:r>
    </w:p>
    <w:p>
      <w:pPr>
        <w:spacing w:before="0" w:after="120"/>
      </w:pPr>
      <w:r>
        <w:rPr>
          <w:rFonts w:ascii="Calibri" w:hAnsi="Calibri"/>
          <w:color w:val="777777"/>
          <w:sz w:val="17"/>
        </w:rPr>
        <w:t>Figure 1. X-axis: PM-centric ↔ Agentic platform. Y-axis: Bundled pricing ↔ Premium / consumption pricing. Meridian plotted at Option B position. Sources: cached competitor AI posture summaries, Feb 2026.</w:t>
      </w:r>
    </w:p>
    <w:p>
      <w:pPr>
        <w:jc w:val="center"/>
      </w:pPr>
      <w:r>
        <w:drawing>
          <wp:inline xmlns:a="http://schemas.openxmlformats.org/drawingml/2006/main" xmlns:pic="http://schemas.openxmlformats.org/drawingml/2006/picture">
            <wp:extent cx="5303520" cy="4737194"/>
            <wp:docPr id="1" name="Picture 1"/>
            <wp:cNvGraphicFramePr>
              <a:graphicFrameLocks noChangeAspect="1"/>
            </wp:cNvGraphicFramePr>
            <a:graphic>
              <a:graphicData uri="http://schemas.openxmlformats.org/drawingml/2006/picture">
                <pic:pic>
                  <pic:nvPicPr>
                    <pic:cNvPr id="0" name="competitive_positioning_matrix.png"/>
                    <pic:cNvPicPr/>
                  </pic:nvPicPr>
                  <pic:blipFill>
                    <a:blip r:embed="rId9"/>
                    <a:stretch>
                      <a:fillRect/>
                    </a:stretch>
                  </pic:blipFill>
                  <pic:spPr>
                    <a:xfrm>
                      <a:off x="0" y="0"/>
                      <a:ext cx="5303520" cy="4737194"/>
                    </a:xfrm>
                    <a:prstGeom prst="rect"/>
                  </pic:spPr>
                </pic:pic>
              </a:graphicData>
            </a:graphic>
          </wp:inline>
        </w:drawing>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