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Takeaways: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Check if we can change the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Send the doc to PC to make sure we have enough user stories before we actually have to turn it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Can we use sub-bullets for the backlog? Each sub-bullet being it’s own user story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Can we make private accounts for an (If time allows) user 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