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 30700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Outline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14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Ryan Klinedinst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Baxter Govan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Steve Eisner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 Pan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Connor Brown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Hunter David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Issues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Issues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we handle a large number of server requests that flood in at one time?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threading depending on what type of request is being made.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Static pages and page objects on the client side that fill in with data that the server sends. Only display a certain amount of microblog posts for each person’s timeline at first then give them the option to load more by scrolling down.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and deload microblog posts based on whether they can be seen or not on the client side.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Issues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hosting service should we use?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Option1: AWS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Option2: Google Cloud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Option3: Azure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Choice: AWS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Justification: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host our server using AWS. A benefit of hosting with AWS is that it gives our application increased scalability. Our team members are also well versed in using AWS. 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backend should we use?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Option1: Spring Boot (Java)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 2: PHP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 3: Node.js (JavaScript) 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Choice: Spring Boot (Java)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Justification: Our team members are all familiar with Java and we want to use Spring Boot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because it will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reduce development, unit test and integration test time. As well as the fact that it is easy to develop production ready web applications very easily using Spring 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frontend framework should we use?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Option1: React JS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Option2: Bootstrap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Option3: Angular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Choice: Combination of React and Bootstrap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Justification: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React can be used as a base in the development of single-page web apps, as it is optimal for fetching rapidly changing data that needs to be recorded. 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Which database should we use?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Option1: MySQL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Option2: SQLite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Option3: MongoDB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Option4: Oracle XE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Choice: MySQL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Justification: MySQL focuses on ease-of-use and efficiency makes it an attractive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solution for our needs. It’s also free and open source and has many tutorials and guides so learning and working with it will be very easy.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Details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