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adkfup9ogi1" w:id="0"/>
      <w:bookmarkEnd w:id="0"/>
      <w:r w:rsidDel="00000000" w:rsidR="00000000" w:rsidRPr="00000000">
        <w:rPr>
          <w:rtl w:val="0"/>
        </w:rPr>
        <w:t xml:space="preserve">Relatório de Óbitos por Causas Externas (2016 - 2026)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k5ztjoy2krv" w:id="1"/>
      <w:bookmarkEnd w:id="1"/>
      <w:r w:rsidDel="00000000" w:rsidR="00000000" w:rsidRPr="00000000">
        <w:rPr>
          <w:rtl w:val="0"/>
        </w:rPr>
        <w:t xml:space="preserve">Resumo do Escopo dos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apresenta a estrutura para o monitoramento e análise da mortalidade por causas externas no Brasil, compreendendo o intervalo temporal de 2016 a 2026. O escopo abrange o registro e a sistematização de óbitos decorrentes de fatores não naturais, incluindo acidentes de trânsito, quedas, afogamentos, agressões (homicídios), lesões autoprovocadas intencionais e demais eventos traumáticos. O objetivo central é fornecer subsídios estatísticos para a formulação de políticas públicas de prevenção e vigilância em saúde, permitindo a identificação de tendências e grupos de risco ao longo da década monitorada.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b93efaf4ktt" w:id="2"/>
      <w:bookmarkEnd w:id="2"/>
      <w:r w:rsidDel="00000000" w:rsidR="00000000" w:rsidRPr="00000000">
        <w:rPr>
          <w:rtl w:val="0"/>
        </w:rPr>
        <w:t xml:space="preserve">Variáveis e Colunas Coletadas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tabela abaixo detalha os principais parâmetros utilizados para a extração e organização dos dados brutos provenientes dos sistemas de informação de mortalidade.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 e Categorias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Período Temporal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Consolidação anual dos dados referentes ao intervalo de 2016 a 2026.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Local de Ocorrência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do ambiente do óbito: estabelecimento de saúde, via pública, domicílio, entre outros.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Registro da classificação biológica: Masculino, Feminino ou Ignorado.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Faixa Etária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dos óbitos por grupos de idade (ex: 0-14, 15-29, 30-59, 60+ anos).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Grande Grupo CID-10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Subdivisões do Capítulo XX (Causas Externas), incluindo acidentes, agressões e lesões autoprovocadas.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7r7zunxtmmm8" w:id="3"/>
      <w:bookmarkEnd w:id="3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a continuidade da análise epidemiológica e o aprimoramento do relatório, os seguintes itens devem ser executados: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Consolidação de Dados Recentes:</w:t>
      </w:r>
      <w:r w:rsidDel="00000000" w:rsidR="00000000" w:rsidRPr="00000000">
        <w:rPr>
          <w:rtl w:val="0"/>
        </w:rPr>
        <w:t xml:space="preserve"> Realizar o levantamento e validação dos registros preliminares para os anos de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a 2026.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Cruzamentos Analíticos:</w:t>
      </w:r>
      <w:r w:rsidDel="00000000" w:rsidR="00000000" w:rsidRPr="00000000">
        <w:rPr>
          <w:rtl w:val="0"/>
        </w:rPr>
        <w:t xml:space="preserve"> Executar a correlação entre o "Local de Ocorrência" e o "Grande Grupo CID-10" para identificar zonas críticas de incidentes.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Regional:</w:t>
      </w:r>
      <w:r w:rsidDel="00000000" w:rsidR="00000000" w:rsidRPr="00000000">
        <w:rPr>
          <w:rtl w:val="0"/>
        </w:rPr>
        <w:t xml:space="preserve"> Segmentar os dados por Unidades da Federação e Municípios para identificar disparidades geográficas.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de Qualidade:</w:t>
      </w:r>
      <w:r w:rsidDel="00000000" w:rsidR="00000000" w:rsidRPr="00000000">
        <w:rPr>
          <w:rtl w:val="0"/>
        </w:rPr>
        <w:t xml:space="preserve"> Identificar e tratar registros classificados como "Causas Mal Definidas" ou "Eventos cuja intenção é indeterminada".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Apresentação de Resultados:</w:t>
      </w:r>
      <w:r w:rsidDel="00000000" w:rsidR="00000000" w:rsidRPr="00000000">
        <w:rPr>
          <w:rtl w:val="0"/>
        </w:rPr>
        <w:t xml:space="preserve"> Agendar reunião de apresentação para o comitê técnico em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Assinatura do Responsável: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74f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