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87ql07xhcss" w:id="0"/>
      <w:bookmarkEnd w:id="0"/>
      <w:r w:rsidDel="00000000" w:rsidR="00000000" w:rsidRPr="00000000">
        <w:rPr>
          <w:rtl w:val="0"/>
        </w:rPr>
        <w:t xml:space="preserve">Relatório de Óbitos Infantis (2016 - 2026)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c9igwv67sol" w:id="1"/>
      <w:bookmarkEnd w:id="1"/>
      <w:r w:rsidDel="00000000" w:rsidR="00000000" w:rsidRPr="00000000">
        <w:rPr>
          <w:rtl w:val="0"/>
        </w:rPr>
        <w:t xml:space="preserve">Resumo do Escopo dos Dados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estabelece a estrutura para o monitoramento da mortalidade infantil no Brasil, abrangendo a série histórica de 2016 a 2026. O objetivo principal é consolidar dados provenientes dos sistemas de informação em saúde para permitir a análise de tendências, identificação de vulnerabilidades regionais e avaliação do impacto de políticas públicas voltadas à saúde materno-infantil. O monitoramento foca em indicadores de mortalidade neonatal e pós-neonatal, assegurando uma base de dados padronizada para estudos epidemiológicos longitudinais.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k5kw3lhwj6f" w:id="2"/>
      <w:bookmarkEnd w:id="2"/>
      <w:r w:rsidDel="00000000" w:rsidR="00000000" w:rsidRPr="00000000">
        <w:rPr>
          <w:rtl w:val="0"/>
        </w:rPr>
        <w:t xml:space="preserve">Variáveis e Colunas Coletadas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tabela abaixo descreve as variáveis fundamentais que compõem o banco de dados do relatório, garantindo a interoperabilidade entre diferentes fontes de dados municipais e estaduais.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Variável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Descrição Técnica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Categorias / Valores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Período Temporal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Define o recorte cronológico do registro.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Anos de 2016 a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Local de Ocorrência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Identifica o ambiente físico onde o óbito foi constatado.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Hospital, Domicílio, Outros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Sexo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Registro do sexo biológico do recém-nascido ou criança.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Masculino, Feminino, Ignorado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Capítulo CID-10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Classificação da causa básica do óbito (OMS).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Capítulos da CID-10 (Ex: XVI, XVII)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mp3lamov9uzu" w:id="3"/>
      <w:bookmarkEnd w:id="3"/>
      <w:r w:rsidDel="00000000" w:rsidR="00000000" w:rsidRPr="00000000">
        <w:rPr>
          <w:rtl w:val="0"/>
        </w:rPr>
        <w:t xml:space="preserve">Próximos Passos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a conclusão do ciclo analítico e publicação do relatório final, as seguintes etapas devem ser seguidas pelos responsáveis técnicos: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Consolidação de Dados:</w:t>
      </w:r>
      <w:r w:rsidDel="00000000" w:rsidR="00000000" w:rsidRPr="00000000">
        <w:rPr>
          <w:rtl w:val="0"/>
        </w:rPr>
        <w:t xml:space="preserve"> Integrar as bases anuais do Sistema de Informações sobre Mortalidade (SIM) referentes aos anos já concluídos.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Cruzamentos Analíticos:</w:t>
      </w:r>
      <w:r w:rsidDel="00000000" w:rsidR="00000000" w:rsidRPr="00000000">
        <w:rPr>
          <w:rtl w:val="0"/>
        </w:rPr>
        <w:t xml:space="preserve"> Realizar a correlação entre o Capítulo CID-10 e o Local de Ocorrência para identificar falhas na assistência hospitalar ou domiciliar.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Regional:</w:t>
      </w:r>
      <w:r w:rsidDel="00000000" w:rsidR="00000000" w:rsidRPr="00000000">
        <w:rPr>
          <w:rtl w:val="0"/>
        </w:rPr>
        <w:t xml:space="preserve"> Georreferenciar os óbitos para identificar clusters de mortalidade em municípios prioritários.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Técnica: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deve revisar a consistência dos dados para o período mais recente.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Agendamento de Revisão: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 para a próxima reunião de apresentação dos indicadores parciais.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 de Protocolo:</w:t>
      </w:r>
      <w:r w:rsidDel="00000000" w:rsidR="00000000" w:rsidRPr="00000000">
        <w:rPr>
          <w:rtl w:val="0"/>
        </w:rPr>
        <w:t xml:space="preserve"> Anexar o documento de diretrizes metodológicas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para suporte à equipe de campo.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1f2937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37415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11827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11827"/>
        <w:sz w:val="24"/>
        <w:szCs w:val="24"/>
      </w:rPr>
      <w:tcPr>
        <w:shd w:fill="f9fafb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