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Agent Ablation Evaluation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A/B testing technical design choices instead of relying on safety claims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Instead of claiming “guardrails make the agent safer,” build A1 without guardrails and A2 with guardrails, then run the same severe-bleeding, HRT, and overreliance scenarios through both. The delta becomes evidence.</w:t>
      </w:r>
    </w:p>
    <w:p>
      <w:pPr>
        <w:pStyle w:val="Heading1"/>
      </w:pPr>
      <w:r>
        <w:t xml:space="preserve">Capability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9"/>
        <w:gridCol w:w="2029"/>
        <w:gridCol w:w="2765"/>
        <w:gridCol w:w="1453"/>
        <w:gridCol w:w="2234"/>
      </w:tblGrid>
      <w:tr>
        <w:trPr>
          <w:tblHeader/>
        </w:trP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Primary comparison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performance lift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Unguided baseline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model only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only; weak accuracy, safety, personalization.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education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+ approved RAG + citations + disclaimer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vs A0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groundedness, citation credibility.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Safety-governed grounded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+ input/output guardrails + escalation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vs A1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Safety, red-flag routing, no-prescription behavior.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Personalized intake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+ progressive profiling + read tools + summaries + time-series context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vs A2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Personalization, UX, continuity, data completeness.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agentic companion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+ prediction + write tools + profile/symptom/stage sync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 vs A3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profile consistency.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Evaluation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1489"/>
        <w:gridCol w:w="1489"/>
        <w:gridCol w:w="1489"/>
        <w:gridCol w:w="1489"/>
        <w:gridCol w:w="1487"/>
      </w:tblGrid>
      <w:tr>
        <w:trPr>
          <w:tblHeader/>
        </w:trP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A0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A1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A2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A3 expectation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A4 expectation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None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Read/write tools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Fastest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Slower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Slowest / most complex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Experimental protocol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Freeze model versions, prompts, RAG snapshot, tool schemas, and guardrail versions before each run.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Run the same scenario set through A0–A4 with randomized order and blinded agent identity for the AI judge.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Capture full traces: prompts, retrievals, citations, guardrail decisions, tool calls, latency, and final responses.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Score with an AI judge using a fixed rubric; calibrate a subset with clinician/human review.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Report absolute scores and deltas: A0→A1, A1→A2, A2→A3, A3→A4, A0→A4.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Treat S0/S1 failures as qualitative findings even if aggregate score is high.</w:t>
      </w:r>
    </w:p>
    <w:p>
      <w:pPr>
        <w:pStyle w:val="Heading1"/>
      </w:pPr>
      <w:r>
        <w:t xml:space="preserve">Minimum credible experiment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Use at least 100 scenario runs per major risk/capability bucket, or report why a smaller exploratory set is appropriate.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Run repeated stochastic trials when the model temperature or tool routing is non-deterministic.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Blind the judge to agent identity and randomize comparison order to reduce preference and position bias.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Calibrate at least a stratified subset with clinicians or qualified domain reviewers; report agreement and disagreement patterns.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Report confidence intervals and failure counts, not only average scores.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Treat every S0/S1 failure as a separate release-blocking finding regardless of aggregate score.</w:t>
      </w:r>
    </w:p>
    <w:p>
      <w:pPr>
        <w:pStyle w:val="Heading1"/>
      </w:pPr>
      <w:r>
        <w:t xml:space="preserve">Interpretation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1"/>
        <w:gridCol w:w="5739"/>
      </w:tblGrid>
      <w:tr>
        <w:trPr>
          <w:tblHeader/>
        </w:trP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Observed change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Accuracy rises; safety falls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call the configuration better overall; inspect overconfident or action-oriented answers.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rises; wrong-profile use rises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 retrieval is working, but provenance/recency controls are insufficient.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rises; UX falls sharply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 may be over-triggering; refine routing without weakening critical gates.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 score rises; latency becomes unacceptable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orchestration, cache safe evidence paths, or reduce nonessential tool calls.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material delta after adding a capability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capability may be ineffective, incorrectly implemented, or not stressed by the dataset.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Companion documents</w:t>
      </w:r>
    </w:p>
    <w:p>
      <w:pPr>
        <w:spacing w:after="120"/>
      </w:pPr>
      <w:r>
        <w:t xml:space="preserve">Also published in the SAFE-CARE public release repository (github.com/Conefia/SAFE-CARE · DOI 10.5281/zenodo.21330841):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Menopause-support companion design case study</w:t>
      </w:r>
      <w:r>
        <w:t xml:space="preserve"> — the first applied case study of SAFE-CARE (docs/03_SAFE-CARE_Menopause-Support_Companion_Case_Study).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Building Safe Conversational AI Agents for Healthcare</w:t>
      </w:r>
      <w:r>
        <w:t xml:space="preserve"> — conference talk outline (docs/09_SAFE-CARE_Conference_Talk_Deck_Outline).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[AI Hospital] Fan et al. AI Hospital: Benchmarking Large Language Models in a Multi-agent Medical Interaction Simulator. 2024. https://arxiv.org/abs/2402.09742</w:t>
      </w:r>
    </w:p>
    <w:p>
      <w:pPr>
        <w:spacing w:after="120"/>
      </w:pPr>
      <w:r>
        <w:t xml:space="preserve">[AgentClinic] Schmidgall et al. AgentClinic: a multimodal agent benchmark to evaluate AI in simulated clinical environments. 2024. https://arxiv.org/abs/2405.07960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