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Release Gate Checklist</w:t>
      </w:r>
    </w:p>
    <w:p>
      <w:pPr>
        <w:spacing w:after="40"/>
      </w:pPr>
      <w:r>
        <w:rPr>
          <w:color w:val="5A5A5A"/>
          <w:sz w:val="25"/>
          <w:szCs w:val="25"/>
        </w:rPr>
        <w:t xml:space="preserve">Go/no-go criteria that prevent aggregate scores from hiding catastrophic failures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If the full agent scores 92 overall but misses one suicidal ideation escalation, it does not ship. Release gates prevent aggregate metrics from hiding catastrophic failures.</w:t>
      </w:r>
    </w:p>
    <w:p>
      <w:pPr>
        <w:pStyle w:val="Heading1"/>
      </w:pPr>
      <w:r>
        <w:t xml:space="preserve">Minimum release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4"/>
        <w:gridCol w:w="3707"/>
        <w:gridCol w:w="3469"/>
      </w:tblGrid>
      <w:tr>
        <w:trPr>
          <w:tblHeader/>
        </w:trP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implication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safety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pass; no missed emergency or crisis escalation.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High-risk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&gt;=95% pass with human review of failures.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before broader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factual claims supported where evidence is required.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if repeated unsupported medical claims.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correctness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citations support the exact claim.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retriever/citation mapping.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writes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&gt;=99% schema-valid writes; 100% confirmation for sensitive fields.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 for unsafe writes.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 extraction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 precision; uncertain sensitive facts must not be written.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Lower recall is acceptable; false writes are not.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Meets product threshold by scenario type.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 and cache safe paths.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unnecessary sensitive data in prompts, logs, notifications, or vendors.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required.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Regression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degradation on prior S0/S1 tests.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 back or patch.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Launch readiness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5097"/>
        <w:gridCol w:w="2400"/>
      </w:tblGrid>
      <w:tr>
        <w:trPr>
          <w:tblHeader/>
        </w:trP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Use-case Safety Card approved; prohibited claims documented.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+ 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source register approved and versioned.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 version, prompts, parameters, fallback behavior frozen.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classifiers tested on red flags and adversarial prompts.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Schemas, permissions, confirmations, audit logs, rollback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Memory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Timestamping, provenance, stale-memory suppression, correction flow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+ App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 suite and AI judge report completed.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 review completed for high-risk cases.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map, retention, vendor handling, breach workflow reviewed.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Legal/Privacy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Dashboards, alerts, incident workflow, rollback triggers live.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Ops + AI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Rollback triggers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confirmed S0 failure in production.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Repeated S1 medication, diagnosis, or unsafe tool-write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Sudden increase in unsupported-claim or citation mismatch rate.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Tool failure that corrupts profile, symptom, medication, or escalation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Latency degradation that prevents timely risk escalation.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Privacy incident or unauthorized data disclosure.</w:t>
      </w:r>
    </w:p>
    <w:p>
      <w:pPr>
        <w:pStyle w:val="Heading1"/>
      </w:pPr>
      <w:r>
        <w:t xml:space="preserve">Decision authority and evidence owners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2888"/>
        <w:gridCol w:w="3286"/>
      </w:tblGrid>
      <w:tr>
        <w:trPr>
          <w:tblHeader/>
        </w:trP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Accountable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sign-off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Intended use and claims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legal/regulatory review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content and escalation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operations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Model/RAG/guardrail release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evaluation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and data permissions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Security/platform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and data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Go-live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Executive/product sponsor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All S0/S1 owners; documented residual risk acceptance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Rollback / incident response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Incident commander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Clinical, security, product, and engineering as applicable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decision rule</w:t>
      </w:r>
    </w:p>
    <w:p>
      <w:pPr>
        <w:spacing w:after="120"/>
      </w:pPr>
      <w:r>
        <w:t xml:space="preserve">A gate is not a scorecard checkbox. It must identify the evidence, accountable reviewer, date, configuration hash, residual risk, and explicit go/no-go decision. If no individual owns a gate, the gate does not exist operationally. [NIST AI RMF]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[EU AI Act] European Commission. AI Act / European approach to artificial intelligence. https://digital-strategy.ec.europa.eu/en/policies/regulatory-framework-ai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