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Agent Ablation Evaluation Template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A/B testing technical design choices instead of relying on safety claims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Instead of claiming “guardrails make the agent safer,” build A1 without guardrails and A2 with guardrails, then run the same severe-bleeding, HRT, and overreliance scenarios through both. The delta becomes evidence.</w:t>
      </w:r>
    </w:p>
    <w:p>
      <w:pPr>
        <w:pStyle w:val="Heading1"/>
      </w:pPr>
      <w:r>
        <w:t xml:space="preserve">Capability ladder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Agent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Name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Capabilities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Primary comparison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Expected performance lift</w:t>
            </w:r>
          </w:p>
        </w:tc>
      </w:tr>
      <w:tr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Unguided baseline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model only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Baseline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Fluency only; weak accuracy, safety, personalization.</w:t>
            </w:r>
          </w:p>
        </w:tc>
      </w:tr>
      <w:tr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Grounded education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 + approved RAG + citations + disclaimer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 vs A0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groundedness, citation credibility.</w:t>
            </w:r>
          </w:p>
        </w:tc>
      </w:tr>
      <w:tr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Safety-governed grounded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 + input/output guardrails + escalation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 vs A1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Safety, red-flag routing, no-prescription behavior.</w:t>
            </w:r>
          </w:p>
        </w:tc>
      </w:tr>
      <w:tr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Personalized intake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 + progressive profiling + read tools + summaries + time-series context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 vs A2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Personalization, UX, continuity, data completeness.</w:t>
            </w:r>
          </w:p>
        </w:tc>
      </w:tr>
      <w:tr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Full agentic companion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 + prediction + write tools + profile/symptom/stage sync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 vs A3</w:t>
            </w:r>
          </w:p>
        </w:tc>
        <w:tc>
          <w:tcPr>
            <w:tcW w:type="dxa" w:w="187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Closed-loop personalization and profile consistency.</w:t>
            </w:r>
          </w:p>
        </w:tc>
      </w:tr>
    </w:tbl>
    <w:p>
      <w:pPr>
        <w:pStyle w:val="Heading1"/>
      </w:pPr>
      <w:r>
        <w:t xml:space="preserve">Evaluation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A0 expectation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A1 expectation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A2 expectation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A3 expectation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A4 expectation</w:t>
            </w:r>
          </w:p>
        </w:tc>
      </w:tr>
      <w:tr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Low–medium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Low–medium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quality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None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tools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Read/write tools</w:t>
            </w:r>
          </w:p>
        </w:tc>
      </w:tr>
      <w:tr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Fastest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Slower</w:t>
            </w:r>
          </w:p>
        </w:tc>
        <w:tc>
          <w:tcPr>
            <w:tcW w:type="dxa" w:w="15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Slowest / most complex</w:t>
            </w:r>
          </w:p>
        </w:tc>
      </w:tr>
    </w:tbl>
    <w:p>
      <w:pPr>
        <w:pStyle w:val="Heading1"/>
      </w:pPr>
      <w:r>
        <w:t xml:space="preserve">Experimental protocol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Freeze model versions, prompts, RAG snapshot, tool schemas, and guardrail versions before each run.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Run the same scenario set through A0–A4 with randomized order and blinded agent identity for the AI judge.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Capture full traces: prompts, retrievals, citations, guardrail decisions, tool calls, latency, and final responses.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Score with an AI judge using a fixed rubric; calibrate a subset with clinician/human review.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Report absolute scores and deltas: A0→A1, A1→A2, A2→A3, A3→A4, A0→A4.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Treat S0/S1 failures as qualitative findings even if aggregate score is high.</w:t>
      </w:r>
    </w:p>
    <w:p>
      <w:pPr>
        <w:pStyle w:val="Heading1"/>
      </w:pPr>
      <w:r>
        <w:t xml:space="preserve">Minimum credible experiment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Use at least 100 scenario runs per major risk/capability bucket, or report why a smaller exploratory set is appropriate.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Run repeated stochastic trials when the model temperature or tool routing is non-deterministic.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Blind the judge to agent identity and randomize comparison order to reduce preference and position bias.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Calibrate at least a stratified subset with clinicians or qualified domain reviewers; report agreement and disagreement patterns.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Report confidence intervals and failure counts, not only average scores.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Treat every S0/S1 failure as a separate release-blocking finding regardless of aggregate score.</w:t>
      </w:r>
    </w:p>
    <w:p>
      <w:pPr>
        <w:pStyle w:val="Heading1"/>
      </w:pPr>
      <w:r>
        <w:t xml:space="preserve">Interpretation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Observed change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Accuracy rises; safety falls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 not call the configuration better overall; inspect overconfident or action-oriented answers.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rises; wrong-profile use rises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 retrieval is working, but provenance/recency controls are insufficient.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rises; UX falls sharply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Guardrails may be over-triggering; refine routing without weakening critical gates.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Full agent score rises; latency becomes unacceptable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Optimize orchestration, cache safe evidence paths, or reduce nonessential tool calls.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material delta after adding a capability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capability may be ineffective, incorrectly implemented, or not stressed by the dataset.</w:t>
            </w:r>
          </w:p>
        </w:tc>
      </w:tr>
    </w:tbl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Design case study — a conversational AI companion for menopause and perimenopause support (author’s prior applied work).</w:t>
      </w:r>
    </w:p>
    <w:p>
      <w:pPr>
        <w:spacing w:after="120"/>
      </w:pPr>
      <w:r>
        <w:t xml:space="preserve">[Conference Outline] Conference talk outline — “Building Safe Conversational AI Agents for Healthcare.”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[AI Hospital] Fan et al. AI Hospital: Benchmarking Large Language Models in a Multi-agent Medical Interaction Simulator. 2024. https://arxiv.org/abs/2402.09742</w:t>
      </w:r>
    </w:p>
    <w:p>
      <w:pPr>
        <w:spacing w:after="120"/>
      </w:pPr>
      <w:r>
        <w:t xml:space="preserve">[AgentClinic] Schmidgall et al. AgentClinic: a multimodal agent benchmark to evaluate AI in simulated clinical environments. 2024. https://arxiv.org/abs/2405.07960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Version:</w:t>
      </w:r>
      <w:r>
        <w:t xml:space="preserve"> v1.0 · July 2026.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*SAFE-CARE: A Framework for Designing and Evaluating Safe Healthcare AI Agents*. Conefia. DOI: [Zenodo DOI].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