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Agent Ablation Evaluation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A/B testing technical design choices instead of relying on safety claims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Instead of claiming “guardrails make the agent safer,” build A1 without guardrails and A2 with guardrails, then run the same severe-bleeding, HRT, and overreliance scenarios through both. The delta becomes evidence.</w:t>
      </w:r>
    </w:p>
    <w:p>
      <w:pPr>
        <w:pStyle w:val="Heading1"/>
      </w:pPr>
      <w:r>
        <w:t xml:space="preserve">Capability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9"/>
        <w:gridCol w:w="2029"/>
        <w:gridCol w:w="2765"/>
        <w:gridCol w:w="1453"/>
        <w:gridCol w:w="2234"/>
      </w:tblGrid>
      <w:tr>
        <w:trPr>
          <w:tblHeader/>
        </w:trP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Primary comparison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performance lift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Unguided baseline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model only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only; weak accuracy, safety, personalization.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education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+ approved RAG + citations + disclaimer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vs A0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groundedness, citation credibility.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Safety-governed grounded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+ input/output guardrails + escalation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vs A1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Safety, red-flag routing, no-prescription behavior.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Personalized intake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+ progressive profiling + read tools + summaries + time-series context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vs A2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Personalization, UX, continuity, data completeness.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agentic companion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+ prediction + write tools + profile/symptom/stage sync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 vs A3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profile consistency.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1489"/>
        <w:gridCol w:w="1489"/>
        <w:gridCol w:w="1489"/>
        <w:gridCol w:w="1489"/>
        <w:gridCol w:w="1487"/>
      </w:tblGrid>
      <w:tr>
        <w:trPr>
          <w:tblHeader/>
        </w:trP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A0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A1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A2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A3 expectation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A4 expectation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Read/write tools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Fastest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Slower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Slowest / most complex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Experimental protocol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Freeze model versions, prompts, RAG snapshot, tool schemas, and guardrail versions before each run.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the same scenario set through A0–A4 with randomized order and blinded agent identity for the AI judge.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Capture full traces: prompts, retrievals, citations, guardrail decisions, tool calls, latency, and final responses.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 with an AI judge using a fixed rubric; calibrate a subset with clinician/human review.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Report absolute scores and deltas: A0→A1, A1→A2, A2→A3, A3→A4, A0→A4.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Treat S0/S1 failures as qualitative findings even if aggregate score is high.</w:t>
      </w:r>
    </w:p>
    <w:p>
      <w:pPr>
        <w:pStyle w:val="Heading1"/>
      </w:pPr>
      <w:r>
        <w:t xml:space="preserve">Minimum credible experiment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Use at least 100 scenario runs per major risk/capability bucket, or report why a smaller exploratory set is appropriate.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Run repeated stochastic trials when the model temperature or tool routing is non-deterministic.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Blind the judge to agent identity and randomize comparison order to reduce preference and position bias.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Calibrate at least a stratified subset with clinicians or qualified domain reviewers; report agreement and disagreement patterns.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Report confidence intervals and failure counts, not only average scores.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Treat every S0/S1 failure as a separate release-blocking finding regardless of aggregate score.</w:t>
      </w:r>
    </w:p>
    <w:p>
      <w:pPr>
        <w:pStyle w:val="Heading1"/>
      </w:pPr>
      <w:r>
        <w:t xml:space="preserve">Interpretation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5739"/>
      </w:tblGrid>
      <w:tr>
        <w:trPr>
          <w:tblHeader/>
        </w:trP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Observed change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Accuracy rises; safety falls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call the configuration better overall; inspect overconfident or action-oriented answers.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rises; wrong-profile use rises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 retrieval is working, but provenance/recency controls are insufficient.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rises; UX falls sharply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 may be over-triggering; refine routing without weakening critical gates.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 score rises; latency becomes unacceptable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orchestration, cache safe evidence paths, or reduce nonessential tool calls.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material delta after adding a capability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capability may be ineffective, incorrectly implemented, or not stressed by the dataset.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[AI Hospital] Fan et al. AI Hospital: Benchmarking Large Language Models in a Multi-agent Medical Interaction Simulator. 2024. https://arxiv.org/abs/2402.09742</w:t>
      </w:r>
    </w:p>
    <w:p>
      <w:pPr>
        <w:spacing w:after="120"/>
      </w:pPr>
      <w:r>
        <w:t xml:space="preserve">[AgentClinic] Schmidgall et al. AgentClinic: a multimodal agent benchmark to evaluate AI in simulated clinical environments. 2024. https://arxiv.org/abs/2405.07960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