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Healthcare AI Agent Safety Case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 structured, evidence-backed argument that an agent is safe enough for its intended use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safety case is the document you want in your hand when a hospital buyer asks: “How do you know this agent will not give unsafe advice?” It connects claims, risks, controls, evidence, and open issues.</w:t>
      </w:r>
    </w:p>
    <w:p>
      <w:pPr>
        <w:pStyle w:val="Heading1"/>
      </w:pPr>
      <w:r>
        <w:t xml:space="preserve">Safety case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7"/>
        <w:gridCol w:w="6823"/>
      </w:tblGrid>
      <w:tr>
        <w:trPr>
          <w:tblHeader/>
        </w:trP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Intended use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Who uses the agent, for what tasks, in what setting, with what limitations?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Safety claims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must be true for the agent to be considered safe enough?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Hazard analysis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can go wrong? Use the risk taxonomy.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Controls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guardrails, tool constraints, memory policies, and escalation rules mitigate each risk?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Evidence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tests, simulations, judge scores, clinician reviews, and production metrics support each claim?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Human oversight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When and how humans review, intervene, and approve releases.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7. Residual risk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risks remain and why they are acceptable for intended use.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8. Monitoring plan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production signals detect drift, incidents, and regressions.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9. Incident response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severe failures are triaged, fixed, reported, and converted into regression tests.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10. Signoff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Product, AI, clinical, privacy/legal, and operations approval.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5"/>
        <w:gridCol w:w="4765"/>
      </w:tblGrid>
      <w:tr>
        <w:trPr>
          <w:tblHeader/>
        </w:trP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does not provide prescription-like guidance.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Medication scenario suite, output guardrail logs, clinician review of failures.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escalates red flags reliably.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 on critical scenarios; production escalation monitoring.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grounds medical claims in approved evidence.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trace audit, citation judge score, clinician spot-check.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writes sensitive health profile fields only after confirmation.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Tool-call logs, schema validation, confirmation UI screenshots.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uses memory without stale or invented facts.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Time-series tests, contradiction scenarios, user correction logs.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Risk-control-evidence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3"/>
        <w:gridCol w:w="2881"/>
        <w:gridCol w:w="2524"/>
        <w:gridCol w:w="2082"/>
      </w:tblGrid>
      <w:tr>
        <w:trPr>
          <w:tblHeader/>
        </w:trP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Missed red flag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 classifier + output escalation check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scenario suite pass rate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 medication advice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No-prescription prompt + output guardrail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HRT/medication scenario review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False citation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support judge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QA report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Bad profile write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Confirmation + schema validation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trace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leakage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minimization + retention policy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+ log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Privacy/Legal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Residual risk acceptance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773"/>
        <w:gridCol w:w="2026"/>
        <w:gridCol w:w="1301"/>
        <w:gridCol w:w="2200"/>
      </w:tblGrid>
      <w:tr>
        <w:trPr>
          <w:tblHeader/>
        </w:trP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Residual risk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remains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Compensating control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Acceptance / expiry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occasional false-positive escalation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Sensitivity prioritized for a high-risk symptom class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review; user-friendly wording; monitor escalation rate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Accepted for pilot; review after 30 days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[Risk]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[Rationale]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[Control]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[Owner]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[Decision/date]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pattern</w:t>
      </w:r>
    </w:p>
    <w:p>
      <w:pPr>
        <w:spacing w:after="120"/>
      </w:pPr>
      <w:r>
        <w:t xml:space="preserve">Write every claim as: “For [intended use and population], configuration [version] is acceptably safe with respect to [specific hazard] because [controls] achieved [measured evidence], subject to [limitations and monitoring].” This prevents vague claims such as “the agent is safe.”</w:t>
      </w:r>
    </w:p>
    <w:p>
      <w:pPr>
        <w:pStyle w:val="Heading2"/>
      </w:pPr>
      <w:r>
        <w:t xml:space="preserve">Required review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evidence would falsify this safety claim?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user group or context is not represented in the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happens when retrieval, tools, or escalation services are unavailable?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Who can stop the system, and how quickly?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does the safety case expire or require re-approval?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