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Agent Ablation Evaluation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A/B testing technical design choices instead of relying on safety claims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Instead of claiming “guardrails make the agent safer,” build A1 without guardrails and A2 with guardrails, then run the same severe-bleeding, HRT, and overreliance scenarios through both. The delta becomes evidence.</w:t>
      </w:r>
    </w:p>
    <w:p>
      <w:pPr>
        <w:pStyle w:val="Heading1"/>
      </w:pPr>
      <w:r>
        <w:t xml:space="preserve">Capability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9"/>
        <w:gridCol w:w="2029"/>
        <w:gridCol w:w="2765"/>
        <w:gridCol w:w="1453"/>
        <w:gridCol w:w="2234"/>
      </w:tblGrid>
      <w:tr>
        <w:trPr>
          <w:tblHeader/>
        </w:trP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Primary comparison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performance lift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Unguided baseline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model only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only; weak accuracy, safety, personalization.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education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+ approved RAG + citations + disclaimer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vs A0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groundedness, citation credibility.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Safety-governed grounded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+ input/output guardrails + escalation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vs A1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Safety, red-flag routing, no-prescription behavior.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Personalized intake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+ progressive profiling + read tools + summaries + time-series context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vs A2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Personalization, UX, continuity, data completeness.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agentic companion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+ prediction + write tools + profile/symptom/stage sync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 vs A3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profile consistency.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Evaluation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1489"/>
        <w:gridCol w:w="1489"/>
        <w:gridCol w:w="1489"/>
        <w:gridCol w:w="1489"/>
        <w:gridCol w:w="1487"/>
      </w:tblGrid>
      <w:tr>
        <w:trPr>
          <w:tblHeader/>
        </w:trP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A0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A1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A2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A3 expectation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A4 expectation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None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Read/write tools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Fastest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Slower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Slowest / most complex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Experimental protocol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Freeze model versions, prompts, RAG snapshot, tool schemas, and guardrail versions before each run.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Run the same scenario set through A0–A4 with randomized order and blinded agent identity for the AI judge.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Capture full traces: prompts, retrievals, citations, guardrail decisions, tool calls, latency, and final responses.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Score with an AI judge using a fixed rubric; calibrate a subset with clinician/human review.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Report absolute scores and deltas: A0→A1, A1→A2, A2→A3, A3→A4, A0→A4.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Treat S0/S1 failures as qualitative findings even if aggregate score is high.</w:t>
      </w:r>
    </w:p>
    <w:p>
      <w:pPr>
        <w:pStyle w:val="Heading1"/>
      </w:pPr>
      <w:r>
        <w:t xml:space="preserve">Minimum credible experiment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Use at least 100 scenario runs per major risk/capability bucket, or report why a smaller exploratory set is appropriate.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Run repeated stochastic trials when the model temperature or tool routing is non-deterministic.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Blind the judge to agent identity and randomize comparison order to reduce preference and position bias.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Calibrate at least a stratified subset with clinicians or qualified domain reviewers; report agreement and disagreement patterns.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Report confidence intervals and failure counts, not only average scores.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Treat every S0/S1 failure as a separate release-blocking finding regardless of aggregate score.</w:t>
      </w:r>
    </w:p>
    <w:p>
      <w:pPr>
        <w:pStyle w:val="Heading1"/>
      </w:pPr>
      <w:r>
        <w:t xml:space="preserve">Interpretation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1"/>
        <w:gridCol w:w="5739"/>
      </w:tblGrid>
      <w:tr>
        <w:trPr>
          <w:tblHeader/>
        </w:trP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Observed change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Accuracy rises; safety falls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call the configuration better overall; inspect overconfident or action-oriented answers.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rises; wrong-profile use rises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 retrieval is working, but provenance/recency controls are insufficient.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rises; UX falls sharply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 may be over-triggering; refine routing without weakening critical gates.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 score rises; latency becomes unacceptable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orchestration, cache safe evidence paths, or reduce nonessential tool calls.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material delta after adding a capability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capability may be ineffective, incorrectly implemented, or not stressed by the dataset.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the SAFE-CARE public release repository. Conefia. GitHub/Zenodo. https://doi.org/10.5281/zenodo.21330841</w:t>
      </w:r>
    </w:p>
    <w:p>
      <w:pPr>
        <w:spacing w:after="120"/>
      </w:pPr>
      <w:r>
        <w:t xml:space="preserve">[Conference Outline] Eltayeb, Y. (2026). Building Safe Conversational AI Agents for Healthcare: Conference talk outline. In the SAFE-CARE public release repository. Conefia. GitHub/Zenodo. https://doi.org/10.5281/zenodo.21330841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[AI Hospital] Fan et al. AI Hospital: Benchmarking Large Language Models in a Multi-agent Medical Interaction Simulator. 2024. https://arxiv.org/abs/2402.09742</w:t>
      </w:r>
    </w:p>
    <w:p>
      <w:pPr>
        <w:spacing w:after="120"/>
      </w:pPr>
      <w:r>
        <w:t xml:space="preserve">[AgentClinic] Schmidgall et al. AgentClinic: a multimodal agent benchmark to evaluate AI in simulated clinical environments. 2024. https://arxiv.org/abs/2405.07960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