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Release Gate Checklist</w:t>
      </w:r>
    </w:p>
    <w:p>
      <w:pPr>
        <w:spacing w:after="40"/>
      </w:pPr>
      <w:r>
        <w:rPr>
          <w:color w:val="5A5A5A"/>
          <w:sz w:val="25"/>
          <w:szCs w:val="25"/>
        </w:rPr>
        <w:t xml:space="preserve">Go/no-go criteria that prevent aggregate scores from hiding catastrophic failures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1.1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Practical example:</w:t>
      </w:r>
      <w:r>
        <w:t xml:space="preserve"> If the full agent scores 92 overall but misses one suicidal ideation escalation, it does not ship. Release gates prevent aggregate metrics from hiding catastrophic failures.</w:t>
      </w:r>
    </w:p>
    <w:p>
      <w:pPr>
        <w:pStyle w:val="Heading1"/>
      </w:pPr>
      <w:r>
        <w:t xml:space="preserve">Minimum release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3707"/>
        <w:gridCol w:w="3469"/>
      </w:tblGrid>
      <w:tr>
        <w:trPr>
          <w:tblHeader/>
        </w:trP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 implication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Critical safety scenarios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100% pass; no missed emergency or crisis escalation.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Block release.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High-risk scenarios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&gt;=95% pass with human review of failures.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Fix before broader release.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groundedness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&gt;=90% factual claims supported where evidence is required.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Block if repeated unsupported medical claims.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 correctness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&gt;=90% citations support the exact claim.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Fix retriever/citation mapping.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writes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&gt;=99% schema-valid writes; 100% confirmation for sensitive fields.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Block release for unsafe writes.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Profile extraction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 precision; uncertain sensitive facts must not be written.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Lower recall is acceptable; false writes are not.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Latency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Meets product threshold by scenario type.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Optimize orchestration and cache safe paths.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 unnecessary sensitive data in prompts, logs, notifications, or vendors.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 review required.</w:t>
            </w:r>
          </w:p>
        </w:tc>
      </w:tr>
      <w:tr>
        <w:tc>
          <w:tcPr>
            <w:tcW w:type="dxa" w:w="21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Regression</w:t>
            </w:r>
          </w:p>
        </w:tc>
        <w:tc>
          <w:tcPr>
            <w:tcW w:type="dxa" w:w="370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 degradation on prior S0/S1 tests.</w:t>
            </w:r>
          </w:p>
        </w:tc>
        <w:tc>
          <w:tcPr>
            <w:tcW w:type="dxa" w:w="346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Roll back or patch.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Launch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5097"/>
        <w:gridCol w:w="2400"/>
      </w:tblGrid>
      <w:tr>
        <w:trPr>
          <w:tblHeader/>
        </w:trP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Scope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Use-case Safety Card approved; prohibited claims documented.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Product + Clinical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 source register approved and versioned.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+ AI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Model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Model version, prompts, parameters, fallback behavior frozen.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Engineering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Guardrails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Input/output classifiers tested on red flags and adversarial prompts.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Safety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Tools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Schemas, permissions, confirmations, audit logs, rollback tested.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Backend + AI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Memory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Timestamping, provenance, stale-memory suppression, correction flow tested.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+ App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Evaluation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Simulation suite and AI judge report completed.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Evaluation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Human review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Clinician review completed for high-risk cases.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Data map, retention, vendor handling, breach workflow reviewed.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Legal/Privacy</w:t>
            </w:r>
          </w:p>
        </w:tc>
      </w:tr>
      <w:tr>
        <w:tc>
          <w:tcPr>
            <w:tcW w:type="dxa" w:w="18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Monitoring</w:t>
            </w:r>
          </w:p>
        </w:tc>
        <w:tc>
          <w:tcPr>
            <w:tcW w:type="dxa" w:w="509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Dashboards, alerts, incident workflow, rollback triggers live.</w:t>
            </w:r>
          </w:p>
        </w:tc>
        <w:tc>
          <w:tcPr>
            <w:tcW w:type="dxa" w:w="240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Ops + AI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Rollback triggers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confirmed S0 failure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Repeated S1 medication, diagnosis, or unsafe tool-write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Sudden increase in unsupported-claim or citation mismatch rate.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 failure that corrupts profile, symptom, medication, or escalation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Latency degradation that prevents timely risk escalation.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Privacy incident or unauthorized data disclosure.</w:t>
      </w:r>
    </w:p>
    <w:p>
      <w:pPr>
        <w:pStyle w:val="Heading1"/>
      </w:pPr>
      <w:r>
        <w:t xml:space="preserve">Decision authority and evidence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2888"/>
        <w:gridCol w:w="3286"/>
      </w:tblGrid>
      <w:tr>
        <w:trPr>
          <w:tblHeader/>
        </w:trP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sign-off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Intended use and claims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Product owner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+ legal/regulatory review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content and escalation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safety lead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 operations owner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Model/RAG/guardrail release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AI engineering lead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evaluation owner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and data permissions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Security/platform lead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Privacy and data owner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Go-live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Executive/product sponsor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All S0/S1 owners; documented residual risk acceptance</w:t>
            </w:r>
          </w:p>
        </w:tc>
      </w:tr>
      <w:tr>
        <w:tc>
          <w:tcPr>
            <w:tcW w:type="dxa" w:w="31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Rollback / incident response</w:t>
            </w:r>
          </w:p>
        </w:tc>
        <w:tc>
          <w:tcPr>
            <w:tcW w:type="dxa" w:w="288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Incident commander</w:t>
            </w:r>
          </w:p>
        </w:tc>
        <w:tc>
          <w:tcPr>
            <w:tcW w:type="dxa" w:w="328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Clinical, security, product, and engineering as applicable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Practical decision rule</w:t>
      </w:r>
    </w:p>
    <w:p>
      <w:pPr>
        <w:spacing w:after="120"/>
      </w:pPr>
      <w:r>
        <w:t xml:space="preserve">A gate is not a scorecard checkbox. It must identify the evidence, accountable reviewer, date, configuration hash, residual risk, and explicit go/no-go decision. If no individual owns a gate, the gate does not exist operationally. [NIST AI RMF]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[Case Study] Eltayeb, Y. (2026). Menopause-support companion design case study. In the SAFE-CARE public release repository. Conefia. GitHub/Zenodo. https://doi.org/10.5281/zenodo.21330841</w:t>
      </w:r>
    </w:p>
    <w:p>
      <w:pPr>
        <w:spacing w:after="120"/>
      </w:pPr>
      <w:r>
        <w:t xml:space="preserve">[Conference Outline] Eltayeb, Y. (2026). Building Safe Conversational AI Agents for Healthcare: Conference talk outline. In the SAFE-CARE public release repository. Conefia. GitHub/Zenodo. https://doi.org/10.5281/zenodo.21330841</w:t>
      </w:r>
    </w:p>
    <w:p>
      <w:pPr>
        <w:spacing w:after="120"/>
      </w:pPr>
      <w:r>
        <w:t xml:space="preserve">[NIST AI RMF] National Institute of Standards and Technology. AI Risk Management Framework. https://www.nist.gov/itl/ai-risk-management-framework</w:t>
      </w:r>
    </w:p>
    <w:p>
      <w:pPr>
        <w:spacing w:after="120"/>
      </w:pPr>
      <w:r>
        <w:t xml:space="preserve">[NIST AI 600-1] National Institute of Standards and Technology. Artificial Intelligence Risk Management Framework: Generative Artificial Intelligence Profile (NIST AI 600-1). U.S. Department of Commerce, July 2024. https://doi.org/10.6028/NIST.AI.600-1</w:t>
      </w:r>
    </w:p>
    <w:p>
      <w:pPr>
        <w:spacing w:after="120"/>
      </w:pPr>
      <w:r>
        <w:t xml:space="preserve">[FDA GMLP] U.S. Food and Drug Administration. Good Machine Learning Practice for Medical Device Development: Guiding Principles. https://www.fda.gov/medical-devices/software-medical-device-samd/good-machine-learning-practice-medical-device-development-guiding-principles</w:t>
      </w:r>
    </w:p>
    <w:p>
      <w:pPr>
        <w:spacing w:after="120"/>
      </w:pPr>
      <w:r>
        <w:t xml:space="preserve">[WHO 2021] World Health Organization. Ethics and governance of artificial intelligence for health. 2021. https://www.who.int/publications/i/item/9789240029200</w:t>
      </w:r>
    </w:p>
    <w:p>
      <w:pPr>
        <w:spacing w:after="120"/>
      </w:pPr>
      <w:r>
        <w:t xml:space="preserve">[FTC HBNR] Federal Trade Commission. Complying with FTC’s Health Breach Notification Rule. https://www.ftc.gov/business-guidance/resources/complying-ftcs-health-breach-notification-rule-0</w:t>
      </w:r>
    </w:p>
    <w:p>
      <w:pPr>
        <w:spacing w:after="120"/>
      </w:pPr>
      <w:r>
        <w:t xml:space="preserve">[EU AI Act] European Commission. AI Act / European approach to artificial intelligence. https://digital-strategy.ec.europa.eu/en/policies/regulatory-framework-ai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Author:</w:t>
      </w:r>
      <w:r>
        <w:t xml:space="preserve"> Yassen Eltayeb —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Version:</w:t>
      </w:r>
      <w:r>
        <w:t xml:space="preserve"> v1.1 ·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https://doi.org/10.5281/zenodo.21330841.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trademark of Yassen Eltayeb /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 / Conefia.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