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Agent Ablation Evaluation Template</w:t>
      </w:r>
    </w:p>
    <w:p>
      <w:pPr>
        <w:spacing w:after="40"/>
      </w:pPr>
      <w:r>
        <w:rPr>
          <w:color w:val="5A5A5A"/>
          <w:sz w:val="25"/>
          <w:szCs w:val="25"/>
        </w:rPr>
        <w:t xml:space="preserve">A/B testing technical design choices instead of relying on safety claims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1.2.0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Practical example:</w:t>
      </w:r>
      <w:r>
        <w:t xml:space="preserve"> Instead of claiming “guardrails make the agent safer,” build A1 without guardrails and A2 with guardrails, then run the same severe-bleeding, HRT, and overreliance scenarios through both. The delta becomes evidence.</w:t>
      </w:r>
    </w:p>
    <w:p>
      <w:pPr>
        <w:pStyle w:val="Heading1"/>
      </w:pPr>
      <w:r>
        <w:t xml:space="preserve">Capability ladder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9"/>
        <w:gridCol w:w="2029"/>
        <w:gridCol w:w="2765"/>
        <w:gridCol w:w="1453"/>
        <w:gridCol w:w="2234"/>
      </w:tblGrid>
      <w:tr>
        <w:trPr>
          <w:tblHeader/>
        </w:trP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Agent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Capabilities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Primary comparison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performance lift</w:t>
            </w:r>
          </w:p>
        </w:tc>
      </w:tr>
      <w:t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Unguided baseline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 model only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Baseline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Fluency only; weak accuracy, safety, personalization.</w:t>
            </w:r>
          </w:p>
        </w:tc>
      </w:tr>
      <w:t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A1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Grounded education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 + approved RAG + citations + disclaimer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A1 vs A0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groundedness, citation credibility.</w:t>
            </w:r>
          </w:p>
        </w:tc>
      </w:tr>
      <w:t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A2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Safety-governed grounded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A1 + input/output guardrails + escalation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A2 vs A1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Safety, red-flag routing, no-prescription behavior.</w:t>
            </w:r>
          </w:p>
        </w:tc>
      </w:tr>
      <w:t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A3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Personalized intake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A2 + progressive profiling + read tools + summaries + time-series context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A3 vs A2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Personalization, UX, continuity, data completeness.</w:t>
            </w:r>
          </w:p>
        </w:tc>
      </w:tr>
      <w:tr>
        <w:tc>
          <w:tcPr>
            <w:tcW w:type="dxa" w:w="87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A4</w:t>
            </w:r>
          </w:p>
        </w:tc>
        <w:tc>
          <w:tcPr>
            <w:tcW w:type="dxa" w:w="202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Full agentic companion</w:t>
            </w:r>
          </w:p>
        </w:tc>
        <w:tc>
          <w:tcPr>
            <w:tcW w:type="dxa" w:w="2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A3 + prediction + write tools + profile/symptom/stage sync</w:t>
            </w:r>
          </w:p>
        </w:tc>
        <w:tc>
          <w:tcPr>
            <w:tcW w:type="dxa" w:w="14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A4 vs A3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Closed-loop personalization and profile consistency.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Evaluation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1489"/>
        <w:gridCol w:w="1489"/>
        <w:gridCol w:w="1489"/>
        <w:gridCol w:w="1489"/>
        <w:gridCol w:w="1487"/>
      </w:tblGrid>
      <w:tr>
        <w:trPr>
          <w:tblHeader/>
        </w:trP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A0 expectation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A1 expectation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A2 expectation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A3 expectation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A4 expectation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accuracy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Low–medium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Highest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Highest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Low–medium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Highest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quality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None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correctness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N/A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N/A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N/A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Read tools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Read/write tools</w:t>
            </w:r>
          </w:p>
        </w:tc>
      </w:tr>
      <w:tr>
        <w:tc>
          <w:tcPr>
            <w:tcW w:type="dxa" w:w="191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Latency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Fastest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type="dxa" w:w="148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Slower</w:t>
            </w:r>
          </w:p>
        </w:tc>
        <w:tc>
          <w:tcPr>
            <w:tcW w:type="dxa" w:w="148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Slowest / most complex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Experimental protocol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Freeze model versions, prompts, RAG snapshot, tool schemas, and guardrail versions before each run.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Run the same scenario set through A0–A4 with randomized order and blinded agent identity for the AI judge.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Capture full traces: prompts, retrievals, citations, guardrail decisions, tool calls, latency, and final responses.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Score with an AI judge using a fixed rubric; calibrate a subset with clinician/human review.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Report absolute scores and deltas: A0→A1, A1→A2, A2→A3, A3→A4, A0→A4.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Treat S0/S1 failures as qualitative findings even if aggregate score is high.</w:t>
      </w:r>
    </w:p>
    <w:p>
      <w:pPr>
        <w:pStyle w:val="Heading1"/>
      </w:pPr>
      <w:r>
        <w:t xml:space="preserve">Minimum credible experiment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Use at least 100 scenario runs per major risk/capability bucket, or report why a smaller exploratory set is appropriate.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Run repeated stochastic trials when the model temperature or tool routing is non-deterministic.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Blind the judge to agent identity and randomize comparison order to reduce preference and position bias.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Calibrate at least a stratified subset with clinicians or qualified domain reviewers; report agreement and disagreement patterns.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Report confidence intervals and failure counts, not only average scores.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Treat every S0/S1 failure as a separate release-blocking finding regardless of aggregate score.</w:t>
      </w:r>
    </w:p>
    <w:p>
      <w:pPr>
        <w:pStyle w:val="Heading1"/>
      </w:pPr>
      <w:r>
        <w:t xml:space="preserve">Interpretation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1"/>
        <w:gridCol w:w="5739"/>
      </w:tblGrid>
      <w:tr>
        <w:trPr>
          <w:tblHeader/>
        </w:trP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Observed change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Interpretation</w:t>
            </w:r>
          </w:p>
        </w:tc>
      </w:tr>
      <w:t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Accuracy rises; safety falls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 not call the configuration better overall; inspect overconfident or action-oriented answers.</w:t>
            </w:r>
          </w:p>
        </w:tc>
      </w:tr>
      <w:t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 rises; wrong-profile use rises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Context retrieval is working, but provenance/recency controls are insufficient.</w:t>
            </w:r>
          </w:p>
        </w:tc>
      </w:tr>
      <w:t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rises; UX falls sharply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Guardrails may be over-triggering; refine routing without weakening critical gates.</w:t>
            </w:r>
          </w:p>
        </w:tc>
      </w:tr>
      <w:t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Full agent score rises; latency becomes unacceptable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Optimize orchestration, cache safe evidence paths, or reduce nonessential tool calls.</w:t>
            </w:r>
          </w:p>
        </w:tc>
      </w:tr>
      <w:tr>
        <w:tc>
          <w:tcPr>
            <w:tcW w:type="dxa" w:w="3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 material delta after adding a capability</w:t>
            </w:r>
          </w:p>
        </w:tc>
        <w:tc>
          <w:tcPr>
            <w:tcW w:type="dxa" w:w="573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capability may be ineffective, incorrectly implemented, or not stressed by the dataset.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Companion documents</w:t>
      </w:r>
    </w:p>
    <w:p>
      <w:pPr>
        <w:spacing w:after="120"/>
      </w:pPr>
      <w:r>
        <w:t xml:space="preserve">Also published in the SAFE-CARE public release repository (github.com/Conefia/SAFE-CARE · DOI 10.5281/zenodo.21330841):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Menopause-support companion design case study</w:t>
      </w:r>
      <w:r>
        <w:t xml:space="preserve"> — the first applied case study of SAFE-CARE (docs/03_SAFE-CARE_Menopause-Support_Companion_Case_Study).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Building Safe Conversational AI Agents for Healthcare</w:t>
      </w:r>
      <w:r>
        <w:t xml:space="preserve"> — conference talk outline (docs/09_SAFE-CARE_Conference_Talk_Deck_Outline).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[LLM-as-Judge] Zheng et al. Judging LLM-as-a-Judge with MT-Bench and Chatbot Arena. 2023. https://arxiv.org/abs/2306.05685</w:t>
      </w:r>
    </w:p>
    <w:p>
      <w:pPr>
        <w:spacing w:after="120"/>
      </w:pPr>
      <w:r>
        <w:t xml:space="preserve">[HealthBench] Arora et al. HealthBench: Evaluating Large Language Models Towards Improved Human Health. 2025. https://arxiv.org/abs/2505.08775</w:t>
      </w:r>
    </w:p>
    <w:p>
      <w:pPr>
        <w:spacing w:after="120"/>
      </w:pPr>
      <w:r>
        <w:t xml:space="preserve">[AI Hospital] Fan et al. AI Hospital: Benchmarking Large Language Models in a Multi-agent Medical Interaction Simulator. 2024. https://arxiv.org/abs/2402.09742</w:t>
      </w:r>
    </w:p>
    <w:p>
      <w:pPr>
        <w:spacing w:after="120"/>
      </w:pPr>
      <w:r>
        <w:t xml:space="preserve">[AgentClinic] Schmidgall et al. AgentClinic: a multimodal agent benchmark to evaluate AI in simulated clinical environments. 2024. https://arxiv.org/abs/2405.07960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Author:</w:t>
      </w:r>
      <w:r>
        <w:t xml:space="preserve"> Yassen Eltayeb.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Version:</w:t>
      </w:r>
      <w:r>
        <w:t xml:space="preserve"> 1.2.0 · July 2026.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https://doi.org/10.5281/zenodo.21330841.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claimed unregistered trademark used by Conefia LLC in connection with its healthcare-AI framework and related services.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