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Release Gate Checklist</w:t>
      </w:r>
    </w:p>
    <w:p>
      <w:pPr>
        <w:spacing w:after="40"/>
      </w:pPr>
      <w:r>
        <w:rPr>
          <w:color w:val="5A5A5A"/>
          <w:sz w:val="25"/>
          <w:szCs w:val="25"/>
        </w:rPr>
        <w:t xml:space="preserve">Go/no-go criteria that prevent aggregate scores from hiding catastrophic failures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1.2.0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If the full agent scores 92 overall but misses one suicidal ideation escalation, it does not ship. Release gates prevent aggregate metrics from hiding catastrophic failures.</w:t>
      </w:r>
    </w:p>
    <w:p>
      <w:pPr>
        <w:pStyle w:val="Heading1"/>
      </w:pPr>
      <w:r>
        <w:t xml:space="preserve">Minimum release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4"/>
        <w:gridCol w:w="3707"/>
        <w:gridCol w:w="3469"/>
      </w:tblGrid>
      <w:tr>
        <w:trPr>
          <w:tblHeader/>
        </w:trP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 implication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safety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pass; no missed emergency or crisis escalation.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High-risk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&gt;=95% pass with human review of failures.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before broader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factual claims supported where evidence is required.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if repeated unsupported medical claims.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correctness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citations support the exact claim.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retriever/citation mapping.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writes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&gt;=99% schema-valid writes; 100% confirmation for sensitive fields.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 for unsafe writes.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 extraction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 precision; uncertain sensitive facts must not be written.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Lower recall is acceptable; false writes are not.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Meets product threshold by scenario type.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 and cache safe paths.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unnecessary sensitive data in prompts, logs, notifications, or vendors.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required.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Regression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degradation on prior S0/S1 tests.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 back or patch.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Launch readiness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5097"/>
        <w:gridCol w:w="2400"/>
      </w:tblGrid>
      <w:tr>
        <w:trPr>
          <w:tblHeader/>
        </w:trP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Checklist item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Use-case Safety Card approved; prohibited claims documented.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+ 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source register approved and versioned.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 version, prompts, parameters, fallback behavior frozen.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classifiers tested on red flags and adversarial prompts.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Schemas, permissions, confirmations, audit logs, rollback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Memory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Timestamping, provenance, stale-memory suppression, correction flow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+ App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Evaluation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 suite and AI judge report completed.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 review completed for high-risk cases.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map, retention, vendor handling, breach workflow reviewed.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Legal/Privacy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Monitoring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Dashboards, alerts, incident workflow, rollback triggers live.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Ops + AI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Rollback triggers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confirmed S0 failure in production.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Repeated S1 medication, diagnosis, or unsafe tool-write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Sudden increase in unsupported-claim or citation mismatch rate.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Tool failure that corrupts profile, symptom, medication, or escalation data.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Latency degradation that prevents timely risk escalation.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Privacy incident or unauthorized data disclosure.</w:t>
      </w:r>
    </w:p>
    <w:p>
      <w:pPr>
        <w:pStyle w:val="Heading1"/>
      </w:pPr>
      <w:r>
        <w:t xml:space="preserve">Decision authority and evidence owners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6"/>
        <w:gridCol w:w="2888"/>
        <w:gridCol w:w="3286"/>
      </w:tblGrid>
      <w:tr>
        <w:trPr>
          <w:tblHeader/>
        </w:trP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Accountable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 sign-off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Intended use and claims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legal/regulatory review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content and escalation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operations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Model/RAG/guardrail release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evaluation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and data permissions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Security/platform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and data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Go-live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Executive/product sponsor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All S0/S1 owners; documented residual risk acceptance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Rollback / incident response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Incident commander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Clinical, security, product, and engineering as applicable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decision rule</w:t>
      </w:r>
    </w:p>
    <w:p>
      <w:pPr>
        <w:spacing w:after="120"/>
      </w:pPr>
      <w:r>
        <w:t xml:space="preserve">A gate is not a scorecard checkbox. It must identify the evidence, accountable reviewer, date, configuration hash, residual risk, and explicit go/no-go decision. If no individual owns a gate, the gate does not exist operationally. [NIST AI RMF]</w:t>
      </w:r>
    </w:p>
    <w:p>
      <w:pPr>
        <w:pStyle w:val="Heading1"/>
      </w:pPr>
      <w:r>
        <w:t xml:space="preserve">Companion documents</w:t>
      </w:r>
    </w:p>
    <w:p>
      <w:pPr>
        <w:spacing w:after="120"/>
      </w:pPr>
      <w:r>
        <w:t xml:space="preserve">Also published in the SAFE-CARE public release repository (github.com/Conefia/SAFE-CARE · DOI 10.5281/zenodo.21330841):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Menopause-support companion design case study</w:t>
      </w:r>
      <w:r>
        <w:t xml:space="preserve"> — the first applied case study of SAFE-CARE (docs/03_SAFE-CARE_Menopause-Support_Companion_Case_Study).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Building Safe Conversational AI Agents for Healthcare</w:t>
      </w:r>
      <w:r>
        <w:t xml:space="preserve"> — conference talk outline (docs/09_SAFE-CARE_Conference_Talk_Deck_Outline).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[NIST AI 600-1] National Institute of Standards and Technology. Artificial Intelligence Risk Management Framework: Generative Artificial Intelligence Profile (NIST AI 600-1). U.S. Department of Commerce, July 2024. https://doi.org/10.6028/NIST.AI.600-1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[EU AI Act] European Commission. AI Act / European approach to artificial intelligence. https://digital-strategy.ec.europa.eu/en/policies/regulatory-framework-ai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1.2.0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claimed unregistered trademark used by Conefia LLC in connection with its healthcare-AI framework and related services.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