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w:t>
      </w:r>
      <w:r w:rsidR="00205A8A" w:rsidRPr="0098498A">
        <w:rPr>
          <w:rFonts w:asciiTheme="minorHAnsi" w:hAnsiTheme="minorHAnsi" w:cstheme="minorHAnsi"/>
        </w:rPr>
        <w:lastRenderedPageBreak/>
        <w:t>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492DE34"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SGX enclave under Open Enclaves, Asylo</w:t>
      </w:r>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5632AF3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 xml:space="preserve">is in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lastRenderedPageBreak/>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Pr>
          <w:rFonts w:asciiTheme="minorHAnsi" w:hAnsiTheme="minorHAnsi" w:cstheme="minorHAnsi"/>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xml:space="preserve">, there are three ways to do this, </w:t>
      </w:r>
      <w:r w:rsidRPr="00036EED">
        <w:rPr>
          <w:rFonts w:asciiTheme="minorHAnsi" w:hAnsiTheme="minorHAnsi" w:cstheme="minorHAnsi"/>
        </w:rPr>
        <w:lastRenderedPageBreak/>
        <w:t>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BB5C70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5C8F1594"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w:t>
      </w:r>
      <w:r w:rsidR="001E1E4C">
        <w:rPr>
          <w:rFonts w:asciiTheme="minorHAnsi" w:hAnsiTheme="minorHAnsi" w:cstheme="minorHAnsi"/>
        </w:rPr>
        <w:t>is</w:t>
      </w:r>
      <w:r w:rsidR="00975F4A">
        <w:rPr>
          <w:rFonts w:asciiTheme="minorHAnsi" w:hAnsiTheme="minorHAnsi" w:cstheme="minorHAnsi"/>
        </w:rPr>
        <w:t xml:space="preserve"> a </w:t>
      </w:r>
      <w:r w:rsidR="001E1E4C">
        <w:rPr>
          <w:rFonts w:asciiTheme="minorHAnsi" w:hAnsiTheme="minorHAnsi" w:cstheme="minorHAnsi"/>
        </w:rPr>
        <w:t>more extensive sample</w:t>
      </w:r>
      <w:r w:rsidR="00975F4A">
        <w:rPr>
          <w:rFonts w:asciiTheme="minorHAnsi" w:hAnsiTheme="minorHAnsi" w:cstheme="minorHAnsi"/>
        </w:rPr>
        <w:t xml:space="preserve"> application provided: a sample machine learning enclave that analyzes data.</w:t>
      </w:r>
      <w:r w:rsidR="001E1E4C">
        <w:rPr>
          <w:rFonts w:asciiTheme="minorHAnsi" w:hAnsiTheme="minorHAnsi" w:cstheme="minorHAnsi"/>
        </w:rPr>
        <w:t xml:space="preserve">  We plan to add several other, generally useful, sample apps.</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lastRenderedPageBreak/>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lastRenderedPageBreak/>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5CD20573" w:rsidR="00060BB3" w:rsidRPr="00036EED"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There is an end-to-end open enclaves test (which includes Open Enclaves instructions) in openenclaves_test.</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sidRPr="00204621">
        <w:rPr>
          <w:rFonts w:ascii="Courier New" w:hAnsi="Courier New" w:cs="Courier New"/>
          <w:sz w:val="22"/>
          <w:szCs w:val="22"/>
        </w:rPr>
        <w:t>support.h</w:t>
      </w:r>
      <w:proofErr w:type="spellEnd"/>
      <w:r w:rsidR="00E83567" w:rsidRPr="00204621">
        <w:rPr>
          <w:rFonts w:ascii="Courier New" w:hAnsi="Courier New" w:cs="Courier New"/>
          <w:sz w:val="22"/>
          <w:szCs w:val="22"/>
        </w:rPr>
        <w:t xml:space="preserve">, </w:t>
      </w:r>
      <w:proofErr w:type="spellStart"/>
      <w:r w:rsidRPr="00204621">
        <w:rPr>
          <w:rFonts w:ascii="Courier New" w:hAnsi="Courier New" w:cs="Courier New"/>
          <w:sz w:val="22"/>
          <w:szCs w:val="22"/>
        </w:rPr>
        <w:t>certifier.h</w:t>
      </w:r>
      <w:proofErr w:type="spellEnd"/>
      <w:r w:rsidRPr="00204621">
        <w:rPr>
          <w:rFonts w:ascii="Courier New" w:hAnsi="Courier New" w:cs="Courier New"/>
          <w:sz w:val="22"/>
          <w:szCs w:val="22"/>
        </w:rPr>
        <w:t xml:space="preserve"> </w:t>
      </w:r>
      <w:r w:rsidR="00E83567">
        <w:rPr>
          <w:rFonts w:asciiTheme="minorHAnsi" w:hAnsiTheme="minorHAnsi" w:cstheme="minorHAnsi"/>
        </w:rPr>
        <w:t xml:space="preserve">and </w:t>
      </w:r>
      <w:proofErr w:type="spellStart"/>
      <w:r w:rsidR="00E83567" w:rsidRPr="00204621">
        <w:rPr>
          <w:rFonts w:ascii="Courier New" w:hAnsi="Courier New" w:cs="Courier New"/>
          <w:sz w:val="22"/>
          <w:szCs w:val="22"/>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02C6BF89"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62482F">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24B34D00"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0D9DCD39" w14:textId="401216F1"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4F71138E"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CB04FB">
        <w:rPr>
          <w:rFonts w:asciiTheme="minorHAnsi" w:hAnsiTheme="minorHAnsi" w:cstheme="minorHAnsi"/>
        </w:rPr>
        <w:t>.</w:t>
      </w:r>
    </w:p>
    <w:p w14:paraId="54D3B4D5" w14:textId="596888E3"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SGX based enclave which employs SGX to provide a Confidential Computing environment.</w:t>
      </w:r>
    </w:p>
    <w:p w14:paraId="1A585EE2" w14:textId="28A4FBC5"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 xml:space="preserve">based enclave which provides a Confidential Computing environment to applications within an encrypted virtual machine (like an SEV-SNP machine).  This service is rooted and SEV-SNP service like the one in 2 above.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_under_app_service</w:t>
      </w:r>
      <w:proofErr w:type="spellEnd"/>
      <w:r w:rsidR="00CB04FB">
        <w:rPr>
          <w:rFonts w:asciiTheme="minorHAnsi" w:hAnsiTheme="minorHAnsi" w:cstheme="minorHAnsi"/>
        </w:rPr>
        <w:t>.</w:t>
      </w: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56C4C74E"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w:t>
      </w:r>
      <w:r>
        <w:rPr>
          <w:rFonts w:asciiTheme="minorHAnsi" w:hAnsiTheme="minorHAnsi" w:cstheme="minorHAnsi"/>
        </w:rPr>
        <w:lastRenderedPageBreak/>
        <w:t xml:space="preserve">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w:t>
      </w:r>
      <w:r>
        <w:rPr>
          <w:rFonts w:asciiTheme="minorHAnsi" w:hAnsiTheme="minorHAnsi" w:cstheme="minorHAnsi"/>
        </w:rPr>
        <w:t xml:space="preserve">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w:t>
      </w:r>
      <w:r w:rsidRPr="005770BE">
        <w:rPr>
          <w:rFonts w:ascii="Courier New" w:eastAsiaTheme="minorEastAsia" w:hAnsi="Courier New" w:cs="Courier New"/>
          <w:color w:val="000000"/>
          <w:sz w:val="22"/>
          <w:szCs w:val="22"/>
        </w:rPr>
        <w:t>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lastRenderedPageBreak/>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A4F5" w14:textId="77777777" w:rsidR="00C07569" w:rsidRDefault="00C07569" w:rsidP="00205A8A">
      <w:r>
        <w:separator/>
      </w:r>
    </w:p>
  </w:endnote>
  <w:endnote w:type="continuationSeparator" w:id="0">
    <w:p w14:paraId="52BA2C3B" w14:textId="77777777" w:rsidR="00C07569" w:rsidRDefault="00C07569"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01550" w14:textId="77777777" w:rsidR="00C07569" w:rsidRDefault="00C07569" w:rsidP="00205A8A">
      <w:r>
        <w:separator/>
      </w:r>
    </w:p>
  </w:footnote>
  <w:footnote w:type="continuationSeparator" w:id="0">
    <w:p w14:paraId="24581757" w14:textId="77777777" w:rsidR="00C07569" w:rsidRDefault="00C07569"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4"/>
  </w:num>
  <w:num w:numId="2" w16cid:durableId="1182283183">
    <w:abstractNumId w:val="12"/>
  </w:num>
  <w:num w:numId="3" w16cid:durableId="1746107490">
    <w:abstractNumId w:val="24"/>
  </w:num>
  <w:num w:numId="4" w16cid:durableId="1202472917">
    <w:abstractNumId w:val="21"/>
  </w:num>
  <w:num w:numId="5" w16cid:durableId="1324120931">
    <w:abstractNumId w:val="22"/>
  </w:num>
  <w:num w:numId="6" w16cid:durableId="1404639921">
    <w:abstractNumId w:val="5"/>
  </w:num>
  <w:num w:numId="7" w16cid:durableId="1797412393">
    <w:abstractNumId w:val="18"/>
  </w:num>
  <w:num w:numId="8" w16cid:durableId="696272067">
    <w:abstractNumId w:val="9"/>
  </w:num>
  <w:num w:numId="9" w16cid:durableId="2827743">
    <w:abstractNumId w:val="10"/>
  </w:num>
  <w:num w:numId="10" w16cid:durableId="1959987554">
    <w:abstractNumId w:val="8"/>
  </w:num>
  <w:num w:numId="11" w16cid:durableId="1054933298">
    <w:abstractNumId w:val="6"/>
  </w:num>
  <w:num w:numId="12" w16cid:durableId="4140081">
    <w:abstractNumId w:val="16"/>
  </w:num>
  <w:num w:numId="13" w16cid:durableId="552546740">
    <w:abstractNumId w:val="15"/>
  </w:num>
  <w:num w:numId="14" w16cid:durableId="1897857488">
    <w:abstractNumId w:val="13"/>
  </w:num>
  <w:num w:numId="15" w16cid:durableId="894850230">
    <w:abstractNumId w:val="1"/>
  </w:num>
  <w:num w:numId="16" w16cid:durableId="1206528300">
    <w:abstractNumId w:val="11"/>
  </w:num>
  <w:num w:numId="17" w16cid:durableId="1106537932">
    <w:abstractNumId w:val="23"/>
  </w:num>
  <w:num w:numId="18" w16cid:durableId="1431586940">
    <w:abstractNumId w:val="4"/>
  </w:num>
  <w:num w:numId="19" w16cid:durableId="46269166">
    <w:abstractNumId w:val="7"/>
  </w:num>
  <w:num w:numId="20" w16cid:durableId="1654672994">
    <w:abstractNumId w:val="17"/>
  </w:num>
  <w:num w:numId="21" w16cid:durableId="189954038">
    <w:abstractNumId w:val="20"/>
  </w:num>
  <w:num w:numId="22" w16cid:durableId="1984197453">
    <w:abstractNumId w:val="2"/>
  </w:num>
  <w:num w:numId="23" w16cid:durableId="1200505932">
    <w:abstractNumId w:val="19"/>
  </w:num>
  <w:num w:numId="24" w16cid:durableId="1672291276">
    <w:abstractNumId w:val="0"/>
  </w:num>
  <w:num w:numId="25" w16cid:durableId="521944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60BB3"/>
    <w:rsid w:val="00074A66"/>
    <w:rsid w:val="000B4750"/>
    <w:rsid w:val="00113418"/>
    <w:rsid w:val="00174B38"/>
    <w:rsid w:val="001C7112"/>
    <w:rsid w:val="001E1E4C"/>
    <w:rsid w:val="00204621"/>
    <w:rsid w:val="00205A8A"/>
    <w:rsid w:val="00214334"/>
    <w:rsid w:val="0025656B"/>
    <w:rsid w:val="002A22DF"/>
    <w:rsid w:val="002C58E8"/>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210D"/>
    <w:rsid w:val="004F7A45"/>
    <w:rsid w:val="004F7C81"/>
    <w:rsid w:val="00504E28"/>
    <w:rsid w:val="00520552"/>
    <w:rsid w:val="005770BE"/>
    <w:rsid w:val="005A1358"/>
    <w:rsid w:val="005B54D4"/>
    <w:rsid w:val="005D19B6"/>
    <w:rsid w:val="005F3133"/>
    <w:rsid w:val="00610B38"/>
    <w:rsid w:val="0062482F"/>
    <w:rsid w:val="00625054"/>
    <w:rsid w:val="00634D86"/>
    <w:rsid w:val="0066376B"/>
    <w:rsid w:val="0068270A"/>
    <w:rsid w:val="00692E42"/>
    <w:rsid w:val="006B04CA"/>
    <w:rsid w:val="007235A2"/>
    <w:rsid w:val="007279A2"/>
    <w:rsid w:val="00775FC1"/>
    <w:rsid w:val="007A6670"/>
    <w:rsid w:val="007D5B07"/>
    <w:rsid w:val="007F7A49"/>
    <w:rsid w:val="008345CA"/>
    <w:rsid w:val="008E0D7B"/>
    <w:rsid w:val="008E5EE1"/>
    <w:rsid w:val="00920E0D"/>
    <w:rsid w:val="0094719B"/>
    <w:rsid w:val="00961FDA"/>
    <w:rsid w:val="00964129"/>
    <w:rsid w:val="00975F4A"/>
    <w:rsid w:val="0098498A"/>
    <w:rsid w:val="00993C42"/>
    <w:rsid w:val="00994F15"/>
    <w:rsid w:val="009D4E7E"/>
    <w:rsid w:val="00A14887"/>
    <w:rsid w:val="00A1732A"/>
    <w:rsid w:val="00A30EB7"/>
    <w:rsid w:val="00A43C7F"/>
    <w:rsid w:val="00AC2FC6"/>
    <w:rsid w:val="00AD7471"/>
    <w:rsid w:val="00B02556"/>
    <w:rsid w:val="00B412A0"/>
    <w:rsid w:val="00B647D3"/>
    <w:rsid w:val="00B73C6D"/>
    <w:rsid w:val="00BE7DFF"/>
    <w:rsid w:val="00C07569"/>
    <w:rsid w:val="00C105BA"/>
    <w:rsid w:val="00C21595"/>
    <w:rsid w:val="00C53F7B"/>
    <w:rsid w:val="00C97B41"/>
    <w:rsid w:val="00CB04FB"/>
    <w:rsid w:val="00CB1C0F"/>
    <w:rsid w:val="00CC0177"/>
    <w:rsid w:val="00CF29DC"/>
    <w:rsid w:val="00D1410C"/>
    <w:rsid w:val="00D503AF"/>
    <w:rsid w:val="00DB4B8E"/>
    <w:rsid w:val="00E33871"/>
    <w:rsid w:val="00E52511"/>
    <w:rsid w:val="00E75B0C"/>
    <w:rsid w:val="00E83567"/>
    <w:rsid w:val="00E90306"/>
    <w:rsid w:val="00EA0332"/>
    <w:rsid w:val="00EA2549"/>
    <w:rsid w:val="00EB26BA"/>
    <w:rsid w:val="00ED449A"/>
    <w:rsid w:val="00F1544B"/>
    <w:rsid w:val="00FA201B"/>
    <w:rsid w:val="00FA5FCB"/>
    <w:rsid w:val="00FB56CC"/>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3</cp:revision>
  <cp:lastPrinted>2022-09-01T19:47:00Z</cp:lastPrinted>
  <dcterms:created xsi:type="dcterms:W3CDTF">2022-09-01T19:47:00Z</dcterms:created>
  <dcterms:modified xsi:type="dcterms:W3CDTF">2022-09-01T19:49:00Z</dcterms:modified>
</cp:coreProperties>
</file>