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w:t>
      </w:r>
      <w:r w:rsidR="00205A8A" w:rsidRPr="0098498A">
        <w:rPr>
          <w:rFonts w:asciiTheme="minorHAnsi" w:hAnsiTheme="minorHAnsi" w:cstheme="minorHAnsi"/>
        </w:rPr>
        <w:lastRenderedPageBreak/>
        <w:t>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1723F0B"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w:t>
      </w:r>
      <w:proofErr w:type="gramStart"/>
      <w:r w:rsidR="00867EA1">
        <w:rPr>
          <w:rFonts w:asciiTheme="minorHAnsi" w:hAnsiTheme="minorHAnsi" w:cstheme="minorHAnsi"/>
        </w:rPr>
        <w:t>past</w:t>
      </w:r>
      <w:proofErr w:type="gramEnd"/>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 xml:space="preserve">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xml:space="preserve">, there are three ways to do this, </w:t>
      </w:r>
      <w:r w:rsidRPr="00036EED">
        <w:rPr>
          <w:rFonts w:asciiTheme="minorHAnsi" w:hAnsiTheme="minorHAnsi" w:cstheme="minorHAnsi"/>
        </w:rPr>
        <w:lastRenderedPageBreak/>
        <w:t>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Pr="00055149"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1214DF8" w14:textId="79C1D4BD" w:rsidR="00055149" w:rsidRPr="00867EA1" w:rsidRDefault="00055149" w:rsidP="00867EA1">
      <w:pPr>
        <w:ind w:left="360"/>
        <w:rPr>
          <w:rFonts w:asciiTheme="minorHAnsi" w:hAnsiTheme="minorHAnsi" w:cstheme="minorHAnsi"/>
        </w:rPr>
      </w:pP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 xml:space="preserve">eable way to authenticate themselves.  This trust decision is made in a </w:t>
      </w:r>
      <w:r>
        <w:rPr>
          <w:rFonts w:asciiTheme="minorHAnsi" w:hAnsiTheme="minorHAnsi" w:cstheme="minorHAnsi"/>
        </w:rPr>
        <w:lastRenderedPageBreak/>
        <w:t>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lastRenderedPageBreak/>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 xml:space="preserve">onfidentiality and integrity of processing depends only on the Confidential Computing applications (which </w:t>
      </w:r>
      <w:r w:rsidR="00AC2FC6" w:rsidRPr="00036EED">
        <w:rPr>
          <w:rFonts w:asciiTheme="minorHAnsi" w:hAnsiTheme="minorHAnsi" w:cstheme="minorHAnsi"/>
        </w:rPr>
        <w:lastRenderedPageBreak/>
        <w:t>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sidRPr="00204621">
        <w:rPr>
          <w:rFonts w:ascii="Courier New" w:hAnsi="Courier New" w:cs="Courier New"/>
          <w:sz w:val="22"/>
          <w:szCs w:val="22"/>
        </w:rPr>
        <w:t>support.h</w:t>
      </w:r>
      <w:proofErr w:type="spellEnd"/>
      <w:r w:rsidR="00E83567" w:rsidRPr="00204621">
        <w:rPr>
          <w:rFonts w:ascii="Courier New" w:hAnsi="Courier New" w:cs="Courier New"/>
          <w:sz w:val="22"/>
          <w:szCs w:val="22"/>
        </w:rPr>
        <w:t xml:space="preserve">, </w:t>
      </w:r>
      <w:proofErr w:type="spellStart"/>
      <w:r w:rsidRPr="00204621">
        <w:rPr>
          <w:rFonts w:ascii="Courier New" w:hAnsi="Courier New" w:cs="Courier New"/>
          <w:sz w:val="22"/>
          <w:szCs w:val="22"/>
        </w:rPr>
        <w:t>certifier.h</w:t>
      </w:r>
      <w:proofErr w:type="spellEnd"/>
      <w:r w:rsidRPr="00204621">
        <w:rPr>
          <w:rFonts w:ascii="Courier New" w:hAnsi="Courier New" w:cs="Courier New"/>
          <w:sz w:val="22"/>
          <w:szCs w:val="22"/>
        </w:rPr>
        <w:t xml:space="preserve"> </w:t>
      </w:r>
      <w:r w:rsidR="00E83567">
        <w:rPr>
          <w:rFonts w:asciiTheme="minorHAnsi" w:hAnsiTheme="minorHAnsi" w:cstheme="minorHAnsi"/>
        </w:rPr>
        <w:t xml:space="preserve">and </w:t>
      </w:r>
      <w:proofErr w:type="spellStart"/>
      <w:r w:rsidR="00E83567" w:rsidRPr="00204621">
        <w:rPr>
          <w:rFonts w:ascii="Courier New" w:hAnsi="Courier New" w:cs="Courier New"/>
          <w:sz w:val="22"/>
          <w:szCs w:val="22"/>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xml:space="preserve">, proving the application is “trustworthy” under the security enumerated policy (It is worth pointing out that this verification generates a proof and verification certificate, naming the application </w:t>
      </w:r>
      <w:r w:rsidR="00FB56CC" w:rsidRPr="00A1732A">
        <w:rPr>
          <w:rFonts w:asciiTheme="minorHAnsi" w:eastAsiaTheme="minorEastAsia" w:hAnsiTheme="minorHAnsi" w:cstheme="minorHAnsi"/>
          <w:color w:val="000000"/>
        </w:rPr>
        <w:lastRenderedPageBreak/>
        <w:t>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4B247" w14:textId="77777777" w:rsidR="004E1617" w:rsidRDefault="004E1617" w:rsidP="00205A8A">
      <w:r>
        <w:separator/>
      </w:r>
    </w:p>
  </w:endnote>
  <w:endnote w:type="continuationSeparator" w:id="0">
    <w:p w14:paraId="6C4B43BA" w14:textId="77777777" w:rsidR="004E1617" w:rsidRDefault="004E1617"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A4055" w14:textId="77777777" w:rsidR="004E1617" w:rsidRDefault="004E1617" w:rsidP="00205A8A">
      <w:r>
        <w:separator/>
      </w:r>
    </w:p>
  </w:footnote>
  <w:footnote w:type="continuationSeparator" w:id="0">
    <w:p w14:paraId="6BEAD6C3" w14:textId="77777777" w:rsidR="004E1617" w:rsidRDefault="004E1617"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A66"/>
    <w:rsid w:val="000B4750"/>
    <w:rsid w:val="000E7354"/>
    <w:rsid w:val="00113418"/>
    <w:rsid w:val="001375B7"/>
    <w:rsid w:val="00174B38"/>
    <w:rsid w:val="001C7112"/>
    <w:rsid w:val="001E1E4C"/>
    <w:rsid w:val="00204621"/>
    <w:rsid w:val="00205A8A"/>
    <w:rsid w:val="00214334"/>
    <w:rsid w:val="0025656B"/>
    <w:rsid w:val="002A22DF"/>
    <w:rsid w:val="002C58E8"/>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1617"/>
    <w:rsid w:val="004E210D"/>
    <w:rsid w:val="004F7A45"/>
    <w:rsid w:val="004F7C81"/>
    <w:rsid w:val="00504E28"/>
    <w:rsid w:val="00520552"/>
    <w:rsid w:val="005770BE"/>
    <w:rsid w:val="005877A8"/>
    <w:rsid w:val="005A1358"/>
    <w:rsid w:val="005B54D4"/>
    <w:rsid w:val="005D19B6"/>
    <w:rsid w:val="005D4C6E"/>
    <w:rsid w:val="005F3133"/>
    <w:rsid w:val="00610B38"/>
    <w:rsid w:val="0062482F"/>
    <w:rsid w:val="00625054"/>
    <w:rsid w:val="00634D86"/>
    <w:rsid w:val="0066376B"/>
    <w:rsid w:val="0068270A"/>
    <w:rsid w:val="00692E42"/>
    <w:rsid w:val="006B04CA"/>
    <w:rsid w:val="007235A2"/>
    <w:rsid w:val="007279A2"/>
    <w:rsid w:val="00775FC1"/>
    <w:rsid w:val="00791652"/>
    <w:rsid w:val="007A6670"/>
    <w:rsid w:val="007B5AF9"/>
    <w:rsid w:val="007D5B07"/>
    <w:rsid w:val="007F7A49"/>
    <w:rsid w:val="008345CA"/>
    <w:rsid w:val="00867EA1"/>
    <w:rsid w:val="008E0D7B"/>
    <w:rsid w:val="008E5EE1"/>
    <w:rsid w:val="00920E0D"/>
    <w:rsid w:val="0094719B"/>
    <w:rsid w:val="00955BED"/>
    <w:rsid w:val="00961FDA"/>
    <w:rsid w:val="00964129"/>
    <w:rsid w:val="00975F4A"/>
    <w:rsid w:val="0098498A"/>
    <w:rsid w:val="00993C42"/>
    <w:rsid w:val="00994F15"/>
    <w:rsid w:val="009D4E7E"/>
    <w:rsid w:val="00A14887"/>
    <w:rsid w:val="00A1732A"/>
    <w:rsid w:val="00A30EB7"/>
    <w:rsid w:val="00A43C7F"/>
    <w:rsid w:val="00A54AAC"/>
    <w:rsid w:val="00AC2FC6"/>
    <w:rsid w:val="00AD7471"/>
    <w:rsid w:val="00B02556"/>
    <w:rsid w:val="00B412A0"/>
    <w:rsid w:val="00B647D3"/>
    <w:rsid w:val="00B73C6D"/>
    <w:rsid w:val="00BE00B4"/>
    <w:rsid w:val="00BE7DFF"/>
    <w:rsid w:val="00C07569"/>
    <w:rsid w:val="00C105BA"/>
    <w:rsid w:val="00C21595"/>
    <w:rsid w:val="00C53F7B"/>
    <w:rsid w:val="00C678DB"/>
    <w:rsid w:val="00C97B41"/>
    <w:rsid w:val="00CB04FB"/>
    <w:rsid w:val="00CB1C0F"/>
    <w:rsid w:val="00CC0177"/>
    <w:rsid w:val="00CE776C"/>
    <w:rsid w:val="00CF29DC"/>
    <w:rsid w:val="00D1410C"/>
    <w:rsid w:val="00D232A5"/>
    <w:rsid w:val="00D503AF"/>
    <w:rsid w:val="00DB4B8E"/>
    <w:rsid w:val="00E33871"/>
    <w:rsid w:val="00E52511"/>
    <w:rsid w:val="00E75B0C"/>
    <w:rsid w:val="00E83567"/>
    <w:rsid w:val="00E90306"/>
    <w:rsid w:val="00EA0332"/>
    <w:rsid w:val="00EA2549"/>
    <w:rsid w:val="00EB26BA"/>
    <w:rsid w:val="00EB6C9C"/>
    <w:rsid w:val="00ED449A"/>
    <w:rsid w:val="00F1544B"/>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5308</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4</cp:revision>
  <cp:lastPrinted>2023-04-13T18:13:00Z</cp:lastPrinted>
  <dcterms:created xsi:type="dcterms:W3CDTF">2023-04-13T18:13:00Z</dcterms:created>
  <dcterms:modified xsi:type="dcterms:W3CDTF">2023-04-13T18:18:00Z</dcterms:modified>
</cp:coreProperties>
</file>