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C8A"/>
          <w:spacing w:val="40"/>
          <w:sz w:val="20"/>
          <w:szCs w:val="20"/>
        </w:rPr>
        <w:t xml:space="preserve">PLATEFORME FIABILISATION KYC</w:t>
      </w:r>
    </w:p>
    <w:p>
      <w:pPr>
        <w:spacing w:after="80"/>
      </w:pPr>
      <w:r>
        <w:rPr>
          <w:rFonts w:ascii="Calibri" w:cs="Calibri" w:eastAsia="Calibri" w:hAnsi="Calibri"/>
          <w:b/>
          <w:bCs/>
          <w:color w:val="1F3864"/>
          <w:sz w:val="44"/>
          <w:szCs w:val="44"/>
        </w:rPr>
        <w:t xml:space="preserve">Procédure de mise en production</w:t>
      </w:r>
    </w:p>
    <w:p>
      <w:pPr>
        <w:pBdr>
          <w:bottom w:val="single" w:color="1F3864" w:sz="12" w:space="8"/>
        </w:pBdr>
        <w:spacing w:after="300"/>
      </w:pPr>
      <w:r>
        <w:rPr>
          <w:rFonts w:ascii="Calibri" w:cs="Calibri" w:eastAsia="Calibri" w:hAnsi="Calibri"/>
          <w:color w:val="555555"/>
          <w:sz w:val="24"/>
          <w:szCs w:val="24"/>
        </w:rPr>
        <w:t xml:space="preserve">Bascule des données de production vers l'environnement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Rubrique</w:t>
            </w:r>
          </w:p>
        </w:tc>
        <w:tc>
          <w:tcPr>
            <w:tcW w:type="dxa" w:w="6826"/>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Valeur</w:t>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Version</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1.0</w:t>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Date</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5 août 2026</w:t>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Base source</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Alias prod — MSSQL kyc_notation sur 10.170.83.20:1433</w:t>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Base cible</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Environnement de test — https://kyc-test.of.africa</w:t>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Durée estimée</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30 à 60 min selon le volume de Kyc_pp et Kyc_pm</w:t>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Scripts utilisés</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export_data_all.py et import_data_all.py</w:t>
            </w:r>
          </w:p>
        </w:tc>
      </w:tr>
    </w:tbl>
    <w:p>
      <w:pPr>
        <w:pStyle w:val="Heading1"/>
        <w:pBdr>
          <w:bottom w:val="single" w:color="1F3864" w:sz="8" w:space="6"/>
        </w:pBdr>
        <w:spacing w:after="160" w:before="360"/>
      </w:pPr>
      <w:r>
        <w:rPr>
          <w:rFonts w:ascii="Calibri" w:cs="Calibri" w:eastAsia="Calibri" w:hAnsi="Calibri"/>
          <w:b/>
          <w:bCs/>
          <w:color w:val="1F3864"/>
          <w:sz w:val="30"/>
          <w:szCs w:val="30"/>
        </w:rPr>
        <w:t xml:space="preserve">1. Objet</w:t>
      </w:r>
    </w:p>
    <w:p>
      <w:pPr>
        <w:spacing w:after="120" w:line="276"/>
      </w:pPr>
      <w:r>
        <w:rPr>
          <w:rFonts w:ascii="Calibri" w:cs="Calibri" w:eastAsia="Calibri" w:hAnsi="Calibri"/>
          <w:sz w:val="21"/>
          <w:szCs w:val="21"/>
        </w:rPr>
        <w:t xml:space="preserve">Cette procédure décrit la bascule des données de production vers l'environnement de test de la plateforme Fiabilisation KYC : sauvegarde préalable de la base de production, export des données applicatives, mise à niveau du schéma de la base de test, rechargement des données, puis recette fonctionnelle.</w:t>
      </w:r>
    </w:p>
    <w:p>
      <w:pPr>
        <w:spacing w:after="120" w:line="276"/>
      </w:pPr>
      <w:r>
        <w:rPr>
          <w:rFonts w:ascii="Calibri" w:cs="Calibri" w:eastAsia="Calibri" w:hAnsi="Calibri"/>
          <w:sz w:val="21"/>
          <w:szCs w:val="21"/>
        </w:rPr>
        <w:t xml:space="preserve">Elle porte sur quatre ensembles de données : les profils utilisateurs, les codes exploitant, les données de notation et de suivi (taux d'évolution, devises, notations) et les tables clients Kyc_pp et Kyc_pm.</w:t>
      </w:r>
    </w:p>
    <w:p>
      <w:pPr>
        <w:pStyle w:val="Heading1"/>
        <w:pBdr>
          <w:bottom w:val="single" w:color="1F3864" w:sz="8" w:space="6"/>
        </w:pBdr>
        <w:spacing w:after="160" w:before="360"/>
      </w:pPr>
      <w:r>
        <w:rPr>
          <w:rFonts w:ascii="Calibri" w:cs="Calibri" w:eastAsia="Calibri" w:hAnsi="Calibri"/>
          <w:b/>
          <w:bCs/>
          <w:color w:val="1F3864"/>
          <w:sz w:val="30"/>
          <w:szCs w:val="30"/>
        </w:rPr>
        <w:t xml:space="preserve">2. Prérequis</w:t>
      </w:r>
    </w:p>
    <w:p>
      <w:pPr>
        <w:pStyle w:val="ListParagraph"/>
        <w:numPr>
          <w:ilvl w:val="0"/>
          <w:numId w:val="2"/>
        </w:numPr>
        <w:spacing w:after="80"/>
      </w:pPr>
      <w:r>
        <w:rPr>
          <w:rFonts w:ascii="Calibri" w:cs="Calibri" w:eastAsia="Calibri" w:hAnsi="Calibri"/>
          <w:sz w:val="21"/>
          <w:szCs w:val="21"/>
        </w:rPr>
        <w:t xml:space="preserve">Un compte SQL Server disposant du droit BACKUP DATABASE sur kyc_notation.</w:t>
      </w:r>
    </w:p>
    <w:p>
      <w:pPr>
        <w:pStyle w:val="ListParagraph"/>
        <w:numPr>
          <w:ilvl w:val="0"/>
          <w:numId w:val="2"/>
        </w:numPr>
        <w:spacing w:after="80"/>
      </w:pPr>
      <w:r>
        <w:rPr>
          <w:rFonts w:ascii="Calibri" w:cs="Calibri" w:eastAsia="Calibri" w:hAnsi="Calibri"/>
          <w:sz w:val="21"/>
          <w:szCs w:val="21"/>
        </w:rPr>
        <w:t xml:space="preserve">L'environnement virtuel Python activé sur les deux machines (venv\Scripts\Activate.ps1).</w:t>
      </w:r>
    </w:p>
    <w:p>
      <w:pPr>
        <w:pStyle w:val="ListParagraph"/>
        <w:numPr>
          <w:ilvl w:val="0"/>
          <w:numId w:val="2"/>
        </w:numPr>
        <w:spacing w:after="80"/>
      </w:pPr>
      <w:r>
        <w:rPr>
          <w:rFonts w:ascii="Calibri" w:cs="Calibri" w:eastAsia="Calibri" w:hAnsi="Calibri"/>
          <w:sz w:val="21"/>
          <w:szCs w:val="21"/>
        </w:rPr>
        <w:t xml:space="preserve">Un espace disque libre au moins égal à deux fois la taille de la base de production, sur la machine qui produit l'export comme sur celle qui l'importe.</w:t>
      </w:r>
    </w:p>
    <w:p>
      <w:pPr>
        <w:pStyle w:val="ListParagraph"/>
        <w:numPr>
          <w:ilvl w:val="0"/>
          <w:numId w:val="2"/>
        </w:numPr>
        <w:spacing w:after="80"/>
      </w:pPr>
      <w:r>
        <w:rPr>
          <w:rFonts w:ascii="Calibri" w:cs="Calibri" w:eastAsia="Calibri" w:hAnsi="Calibri"/>
          <w:sz w:val="21"/>
          <w:szCs w:val="21"/>
        </w:rPr>
        <w:t xml:space="preserve">Le code des deux installations aligné sur la même version : c'est la cause la plus fréquente d'échec à l'import (modèle absent, contrainte d'unicité en écart).</w:t>
      </w:r>
    </w:p>
    <w:p>
      <w:pPr>
        <w:pStyle w:val="ListParagraph"/>
        <w:numPr>
          <w:ilvl w:val="0"/>
          <w:numId w:val="2"/>
        </w:numPr>
        <w:spacing w:after="80"/>
      </w:pPr>
      <w:r>
        <w:rPr>
          <w:rFonts w:ascii="Calibri" w:cs="Calibri" w:eastAsia="Calibri" w:hAnsi="Calibri"/>
          <w:sz w:val="21"/>
          <w:szCs w:val="21"/>
        </w:rPr>
        <w:t xml:space="preserve">Aucun utilisateur connecté à la plateforme de test pendant l'opération.</w:t>
      </w:r>
    </w:p>
    <w:p>
      <w:pPr>
        <w:pStyle w:val="ListParagraph"/>
        <w:numPr>
          <w:ilvl w:val="0"/>
          <w:numId w:val="2"/>
        </w:numPr>
        <w:spacing w:after="80"/>
      </w:pPr>
      <w:r>
        <w:rPr>
          <w:rFonts w:ascii="Calibri" w:cs="Calibri" w:eastAsia="Calibri" w:hAnsi="Calibri"/>
          <w:sz w:val="21"/>
          <w:szCs w:val="21"/>
        </w:rPr>
        <w:t xml:space="preserve">Une fenêtre d'intervention hors heures de production pour l'étape 1.</w:t>
      </w:r>
    </w:p>
    <w:p>
      <w:pPr>
        <w:pStyle w:val="Heading1"/>
        <w:pBdr>
          <w:bottom w:val="single" w:color="1F3864" w:sz="8" w:space="6"/>
        </w:pBdr>
        <w:spacing w:after="160" w:before="360"/>
      </w:pPr>
      <w:r>
        <w:rPr>
          <w:rFonts w:ascii="Calibri" w:cs="Calibri" w:eastAsia="Calibri" w:hAnsi="Calibri"/>
          <w:b/>
          <w:bCs/>
          <w:color w:val="1F3864"/>
          <w:sz w:val="30"/>
          <w:szCs w:val="30"/>
        </w:rPr>
        <w:t xml:space="preserve">3.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w:t>
            </w:r>
          </w:p>
        </w:tc>
        <w:tc>
          <w:tcPr>
            <w:tcW w:type="dxa" w:w="33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5026"/>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Commande principale</w:t>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1</w:t>
            </w:r>
          </w:p>
        </w:tc>
        <w:tc>
          <w:tcPr>
            <w:tcW w:type="dxa" w:w="3300"/>
            <w:tcMar>
              <w:top w:type="dxa" w:w="80"/>
              <w:left w:type="dxa" w:w="120"/>
              <w:bottom w:type="dxa" w:w="80"/>
              <w:right w:type="dxa" w:w="120"/>
            </w:tcMar>
          </w:tcPr>
          <w:p>
            <w:r>
              <w:rPr>
                <w:rFonts w:ascii="Calibri" w:cs="Calibri" w:eastAsia="Calibri" w:hAnsi="Calibri"/>
                <w:b w:val="false"/>
                <w:bCs w:val="false"/>
                <w:sz w:val="19"/>
                <w:szCs w:val="19"/>
              </w:rPr>
              <w:t xml:space="preserve">Sauvegarde de la base MSSQL</w:t>
            </w:r>
          </w:p>
        </w:tc>
        <w:tc>
          <w:tcPr>
            <w:tcW w:type="dxa" w:w="5026"/>
            <w:tcMar>
              <w:top w:type="dxa" w:w="80"/>
              <w:left w:type="dxa" w:w="120"/>
              <w:bottom w:type="dxa" w:w="80"/>
              <w:right w:type="dxa" w:w="120"/>
            </w:tcMar>
          </w:tcPr>
          <w:p>
            <w:r>
              <w:rPr>
                <w:rFonts w:ascii="Calibri" w:cs="Calibri" w:eastAsia="Calibri" w:hAnsi="Calibri"/>
                <w:b w:val="false"/>
                <w:bCs w:val="false"/>
                <w:sz w:val="19"/>
                <w:szCs w:val="19"/>
              </w:rPr>
              <w:t xml:space="preserve">BACKUP DATABASE (SQL Server)</w:t>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2</w:t>
            </w:r>
          </w:p>
        </w:tc>
        <w:tc>
          <w:tcPr>
            <w:tcW w:type="dxa" w:w="33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Export des données de production</w:t>
            </w:r>
          </w:p>
        </w:tc>
        <w:tc>
          <w:tcPr>
            <w:tcW w:type="dxa" w:w="5026"/>
            <w:shd w:fill="F2F4F7" w:val="clear"/>
            <w:tcMar>
              <w:top w:type="dxa" w:w="80"/>
              <w:left w:type="dxa" w:w="120"/>
              <w:bottom w:type="dxa" w:w="80"/>
              <w:right w:type="dxa" w:w="120"/>
            </w:tcMar>
          </w:tcPr>
          <w:p>
            <w:r>
              <w:rPr>
                <w:rFonts w:ascii="Consolas" w:cs="Consolas" w:eastAsia="Consolas" w:hAnsi="Consolas"/>
                <w:b w:val="false"/>
                <w:bCs w:val="false"/>
                <w:sz w:val="19"/>
                <w:szCs w:val="19"/>
              </w:rPr>
              <w:t xml:space="preserve">python export_data_all.py</w:t>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3</w:t>
            </w:r>
          </w:p>
        </w:tc>
        <w:tc>
          <w:tcPr>
            <w:tcW w:type="dxa" w:w="3300"/>
            <w:tcMar>
              <w:top w:type="dxa" w:w="80"/>
              <w:left w:type="dxa" w:w="120"/>
              <w:bottom w:type="dxa" w:w="80"/>
              <w:right w:type="dxa" w:w="120"/>
            </w:tcMar>
          </w:tcPr>
          <w:p>
            <w:r>
              <w:rPr>
                <w:rFonts w:ascii="Calibri" w:cs="Calibri" w:eastAsia="Calibri" w:hAnsi="Calibri"/>
                <w:b w:val="false"/>
                <w:bCs w:val="false"/>
                <w:sz w:val="19"/>
                <w:szCs w:val="19"/>
              </w:rPr>
              <w:t xml:space="preserve">Copie de l'export vers la machine de test</w:t>
            </w:r>
          </w:p>
        </w:tc>
        <w:tc>
          <w:tcPr>
            <w:tcW w:type="dxa" w:w="5026"/>
            <w:tcMar>
              <w:top w:type="dxa" w:w="80"/>
              <w:left w:type="dxa" w:w="120"/>
              <w:bottom w:type="dxa" w:w="80"/>
              <w:right w:type="dxa" w:w="120"/>
            </w:tcMar>
          </w:tcPr>
          <w:p>
            <w:r>
              <w:rPr>
                <w:rFonts w:ascii="Calibri" w:cs="Calibri" w:eastAsia="Calibri" w:hAnsi="Calibri"/>
                <w:b w:val="false"/>
                <w:bCs w:val="false"/>
                <w:sz w:val="19"/>
                <w:szCs w:val="19"/>
              </w:rPr>
              <w:t xml:space="preserve">Compress-Archive puis copie</w:t>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4</w:t>
            </w:r>
          </w:p>
        </w:tc>
        <w:tc>
          <w:tcPr>
            <w:tcW w:type="dxa" w:w="33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Mise à niveau du schéma de la base test</w:t>
            </w:r>
          </w:p>
        </w:tc>
        <w:tc>
          <w:tcPr>
            <w:tcW w:type="dxa" w:w="5026"/>
            <w:shd w:fill="F2F4F7" w:val="clear"/>
            <w:tcMar>
              <w:top w:type="dxa" w:w="80"/>
              <w:left w:type="dxa" w:w="120"/>
              <w:bottom w:type="dxa" w:w="80"/>
              <w:right w:type="dxa" w:w="120"/>
            </w:tcMar>
          </w:tcPr>
          <w:p>
            <w:r>
              <w:rPr>
                <w:rFonts w:ascii="Consolas" w:cs="Consolas" w:eastAsia="Consolas" w:hAnsi="Consolas"/>
                <w:b w:val="false"/>
                <w:bCs w:val="false"/>
                <w:sz w:val="19"/>
                <w:szCs w:val="19"/>
              </w:rPr>
              <w:t xml:space="preserve">python manage.py migrate</w:t>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5</w:t>
            </w:r>
          </w:p>
        </w:tc>
        <w:tc>
          <w:tcPr>
            <w:tcW w:type="dxa" w:w="3300"/>
            <w:tcMar>
              <w:top w:type="dxa" w:w="80"/>
              <w:left w:type="dxa" w:w="120"/>
              <w:bottom w:type="dxa" w:w="80"/>
              <w:right w:type="dxa" w:w="120"/>
            </w:tcMar>
          </w:tcPr>
          <w:p>
            <w:r>
              <w:rPr>
                <w:rFonts w:ascii="Calibri" w:cs="Calibri" w:eastAsia="Calibri" w:hAnsi="Calibri"/>
                <w:b w:val="false"/>
                <w:bCs w:val="false"/>
                <w:sz w:val="19"/>
                <w:szCs w:val="19"/>
              </w:rPr>
              <w:t xml:space="preserve">Import des données</w:t>
            </w:r>
          </w:p>
        </w:tc>
        <w:tc>
          <w:tcPr>
            <w:tcW w:type="dxa" w:w="5026"/>
            <w:tcMar>
              <w:top w:type="dxa" w:w="80"/>
              <w:left w:type="dxa" w:w="120"/>
              <w:bottom w:type="dxa" w:w="80"/>
              <w:right w:type="dxa" w:w="120"/>
            </w:tcMar>
          </w:tcPr>
          <w:p>
            <w:r>
              <w:rPr>
                <w:rFonts w:ascii="Consolas" w:cs="Consolas" w:eastAsia="Consolas" w:hAnsi="Consolas"/>
                <w:b w:val="false"/>
                <w:bCs w:val="false"/>
                <w:sz w:val="19"/>
                <w:szCs w:val="19"/>
              </w:rPr>
              <w:t xml:space="preserve">python import_data_all.py</w:t>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6</w:t>
            </w:r>
          </w:p>
        </w:tc>
        <w:tc>
          <w:tcPr>
            <w:tcW w:type="dxa" w:w="33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Configurations dans l'admin Django</w:t>
            </w:r>
          </w:p>
        </w:tc>
        <w:tc>
          <w:tcPr>
            <w:tcW w:type="dxa" w:w="50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Interface /admin/</w:t>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7</w:t>
            </w:r>
          </w:p>
        </w:tc>
        <w:tc>
          <w:tcPr>
            <w:tcW w:type="dxa" w:w="3300"/>
            <w:tcMar>
              <w:top w:type="dxa" w:w="80"/>
              <w:left w:type="dxa" w:w="120"/>
              <w:bottom w:type="dxa" w:w="80"/>
              <w:right w:type="dxa" w:w="120"/>
            </w:tcMar>
          </w:tcPr>
          <w:p>
            <w:r>
              <w:rPr>
                <w:rFonts w:ascii="Calibri" w:cs="Calibri" w:eastAsia="Calibri" w:hAnsi="Calibri"/>
                <w:b w:val="false"/>
                <w:bCs w:val="false"/>
                <w:sz w:val="19"/>
                <w:szCs w:val="19"/>
              </w:rPr>
              <w:t xml:space="preserve">Recette fonctionnelle</w:t>
            </w:r>
          </w:p>
        </w:tc>
        <w:tc>
          <w:tcPr>
            <w:tcW w:type="dxa" w:w="5026"/>
            <w:tcMar>
              <w:top w:type="dxa" w:w="80"/>
              <w:left w:type="dxa" w:w="120"/>
              <w:bottom w:type="dxa" w:w="80"/>
              <w:right w:type="dxa" w:w="120"/>
            </w:tcMar>
          </w:tcPr>
          <w:p>
            <w:r>
              <w:rPr>
                <w:rFonts w:ascii="Calibri" w:cs="Calibri" w:eastAsia="Calibri" w:hAnsi="Calibri"/>
                <w:b w:val="false"/>
                <w:bCs w:val="false"/>
                <w:sz w:val="19"/>
                <w:szCs w:val="19"/>
              </w:rPr>
              <w:t xml:space="preserve">Navigation sur kyc-test.of.africa</w:t>
            </w:r>
          </w:p>
        </w:tc>
      </w:tr>
    </w:tbl>
    <w:p>
      <w:pPr>
        <w:spacing w:after="120" w:line="276"/>
      </w:pPr>
      <w:r>
        <w:rPr>
          <w:rFonts w:ascii="Calibri" w:cs="Calibri" w:eastAsia="Calibri" w:hAnsi="Calibri"/>
          <w:sz w:val="21"/>
          <w:szCs w:val="21"/>
        </w:rPr>
        <w:t xml:space="preserve"/>
      </w:r>
    </w:p>
    <w:tbl>
      <w:tblPr>
        <w:tblW w:type="dxa" w:w="9026"/>
        <w:tblBorders>
          <w:top w:val="single" w:color="2E5C8A" w:sz="4"/>
          <w:left w:val="single" w:color="2E5C8A" w:sz="24"/>
          <w:bottom w:val="single" w:color="2E5C8A" w:sz="4"/>
          <w:right w:val="single" w:color="2E5C8A"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2E5C8A"/>
                <w:sz w:val="21"/>
                <w:szCs w:val="21"/>
              </w:rPr>
              <w:t xml:space="preserve">À vérifier avant de commencer</w:t>
            </w:r>
          </w:p>
          <w:p>
            <w:pPr>
              <w:spacing w:after="0"/>
            </w:pPr>
            <w:r>
              <w:rPr>
                <w:rFonts w:ascii="Calibri" w:cs="Calibri" w:eastAsia="Calibri" w:hAnsi="Calibri"/>
                <w:sz w:val="20"/>
                <w:szCs w:val="20"/>
              </w:rPr>
              <w:t xml:space="preserve">Les étapes 4 et 5 sont dans cet ordre pour une raison : le schéma de la base de test doit être à jour AVANT que les données n'y soient chargées. Ne jamais importer puis migrer.</w:t>
            </w:r>
          </w:p>
        </w:tc>
      </w:tr>
    </w:tbl>
    <w:p>
      <w:pPr>
        <w:pStyle w:val="Heading1"/>
        <w:pBdr>
          <w:bottom w:val="single" w:color="1F3864" w:sz="8" w:space="6"/>
        </w:pBdr>
        <w:spacing w:after="160" w:before="360"/>
      </w:pPr>
      <w:r>
        <w:rPr>
          <w:rFonts w:ascii="Calibri" w:cs="Calibri" w:eastAsia="Calibri" w:hAnsi="Calibri"/>
          <w:b/>
          <w:bCs/>
          <w:color w:val="1F3864"/>
          <w:sz w:val="30"/>
          <w:szCs w:val="30"/>
        </w:rPr>
        <w:t xml:space="preserve">Étape 1 — Sauvegarde de la base de données MSSQL</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Disposer d'un point de restauration complet de la production avant toute manipulation. Cette sauvegarde est le seul filet de sécurité de l'opération.</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Sur le serveur SQL Server 10.170.83.20, via SQL Server Management Studio ou sqlcmd.</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0" w:before="60"/>
        <w:ind w:left="200" w:right="200"/>
      </w:pPr>
      <w:r>
        <w:rPr>
          <w:rFonts w:ascii="Consolas" w:cs="Consolas" w:eastAsia="Consolas" w:hAnsi="Consolas"/>
          <w:sz w:val="19"/>
          <w:szCs w:val="19"/>
        </w:rPr>
        <w:t xml:space="preserve">BACKUP DATABASE [kyc_notation]</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TO DISK = 'D:\Backups\kyc_notation_20260805.bak'</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WITH INIT, COMPRESSION, CHECKSUM, STATS = 10;</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w:t>
      </w:r>
    </w:p>
    <w:p>
      <w:pPr>
        <w:pBdr>
          <w:left w:val="single" w:color="2E5C8A" w:sz="12" w:space="8"/>
        </w:pBdr>
        <w:shd w:fill="F5F5F5" w:val="clear"/>
        <w:spacing w:after="0" w:before="0"/>
        <w:ind w:left="200" w:right="200"/>
      </w:pPr>
      <w:r>
        <w:rPr>
          <w:rFonts w:ascii="Consolas" w:cs="Consolas" w:eastAsia="Consolas" w:hAnsi="Consolas"/>
          <w:sz w:val="19"/>
          <w:szCs w:val="19"/>
        </w:rPr>
        <w:t xml:space="preserve">RESTORE VERIFYONLY</w:t>
      </w:r>
    </w:p>
    <w:p>
      <w:pPr>
        <w:pBdr>
          <w:left w:val="single" w:color="2E5C8A" w:sz="12" w:space="8"/>
        </w:pBdr>
        <w:shd w:fill="F5F5F5" w:val="clear"/>
        <w:spacing w:after="140" w:before="0"/>
        <w:ind w:left="200" w:right="200"/>
      </w:pPr>
      <w:r>
        <w:rPr>
          <w:rFonts w:ascii="Consolas" w:cs="Consolas" w:eastAsia="Consolas" w:hAnsi="Consolas"/>
          <w:sz w:val="19"/>
          <w:szCs w:val="19"/>
        </w:rPr>
        <w:t xml:space="preserve">  FROM DISK = 'D:\Backups\kyc_notation_20260805.bak';</w:t>
      </w:r>
    </w:p>
    <w:p>
      <w:pPr>
        <w:pStyle w:val="ListParagraph"/>
        <w:numPr>
          <w:ilvl w:val="0"/>
          <w:numId w:val="2"/>
        </w:numPr>
        <w:spacing w:after="80"/>
      </w:pPr>
      <w:r>
        <w:rPr>
          <w:rFonts w:ascii="Calibri" w:cs="Calibri" w:eastAsia="Calibri" w:hAnsi="Calibri"/>
          <w:sz w:val="21"/>
          <w:szCs w:val="21"/>
        </w:rPr>
        <w:t xml:space="preserve">Adapter la date du nom de fichier et le chemin de destination aux conventions de l'exploitation.</w:t>
      </w:r>
    </w:p>
    <w:p>
      <w:pPr>
        <w:pStyle w:val="ListParagraph"/>
        <w:numPr>
          <w:ilvl w:val="0"/>
          <w:numId w:val="2"/>
        </w:numPr>
        <w:spacing w:after="80"/>
      </w:pPr>
      <w:r>
        <w:rPr>
          <w:rFonts w:ascii="Calibri" w:cs="Calibri" w:eastAsia="Calibri" w:hAnsi="Calibri"/>
          <w:sz w:val="21"/>
          <w:szCs w:val="21"/>
        </w:rPr>
        <w:t xml:space="preserve">CHECKSUM et RESTORE VERIFYONLY ne sont pas optionnels : une sauvegarde non vérifiée n'est pas une sauvegarde.</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La commande RESTORE VERIFYONLY retourne « The backup set on file 1 is valid ».</w:t>
      </w:r>
    </w:p>
    <w:p>
      <w:pPr>
        <w:pStyle w:val="ListParagraph"/>
        <w:numPr>
          <w:ilvl w:val="0"/>
          <w:numId w:val="2"/>
        </w:numPr>
        <w:spacing w:after="80"/>
      </w:pPr>
      <w:r>
        <w:rPr>
          <w:rFonts w:ascii="Calibri" w:cs="Calibri" w:eastAsia="Calibri" w:hAnsi="Calibri"/>
          <w:sz w:val="21"/>
          <w:szCs w:val="21"/>
        </w:rPr>
        <w:t xml:space="preserve">Le fichier .bak est présent, sa taille est cohérente avec celle de la base.</w:t>
      </w:r>
    </w:p>
    <w:p>
      <w:pPr>
        <w:pStyle w:val="ListParagraph"/>
        <w:numPr>
          <w:ilvl w:val="0"/>
          <w:numId w:val="2"/>
        </w:numPr>
        <w:spacing w:after="80"/>
      </w:pPr>
      <w:r>
        <w:rPr>
          <w:rFonts w:ascii="Calibri" w:cs="Calibri" w:eastAsia="Calibri" w:hAnsi="Calibri"/>
          <w:sz w:val="21"/>
          <w:szCs w:val="21"/>
        </w:rPr>
        <w:t xml:space="preserve">La sauvegarde est copiée sur un support distinct du serveur de production.</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Ne pas poursuivre. Toutes les étapes suivantes supposent l'existence d'une sauvegarde vérifiée. Traiter d'abord la cause (espace disque, droits du compte de service, verrous) avant de reprendre.</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2 — Export des données de production</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Produire un répertoire d'export contenant les profils, les codes exploitant, les données de notation et les tables clients Kyc_pp et Kyc_pm.</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Sur la machine de production, à la racine du projet, environnement virtuel activé.</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140" w:before="60"/>
        <w:ind w:left="200" w:right="200"/>
      </w:pPr>
      <w:r>
        <w:rPr>
          <w:rFonts w:ascii="Consolas" w:cs="Consolas" w:eastAsia="Consolas" w:hAnsi="Consolas"/>
          <w:sz w:val="19"/>
          <w:szCs w:val="19"/>
        </w:rPr>
        <w:t xml:space="preserve">python export_data_all.py --database prod --output data_all_prod --gzip</w:t>
      </w:r>
    </w:p>
    <w:p>
      <w:pPr>
        <w:pStyle w:val="ListParagraph"/>
        <w:numPr>
          <w:ilvl w:val="0"/>
          <w:numId w:val="2"/>
        </w:numPr>
        <w:spacing w:after="80"/>
      </w:pPr>
      <w:r>
        <w:rPr>
          <w:rFonts w:ascii="Calibri" w:cs="Calibri" w:eastAsia="Calibri" w:hAnsi="Calibri"/>
          <w:sz w:val="21"/>
          <w:szCs w:val="21"/>
        </w:rPr>
        <w:t xml:space="preserve">L'option --database prod est déterminante : sans elle, le script exporte l'alias default, qui pointe sur la base SQLite locale et non sur la production. Vérifier dans settings.py quel alias correspond à la production sur la machine utilisée.</w:t>
      </w:r>
    </w:p>
    <w:p>
      <w:pPr>
        <w:pStyle w:val="ListParagraph"/>
        <w:numPr>
          <w:ilvl w:val="0"/>
          <w:numId w:val="2"/>
        </w:numPr>
        <w:spacing w:after="80"/>
      </w:pPr>
      <w:r>
        <w:rPr>
          <w:rFonts w:ascii="Calibri" w:cs="Calibri" w:eastAsia="Calibri" w:hAnsi="Calibri"/>
          <w:sz w:val="21"/>
          <w:szCs w:val="21"/>
        </w:rPr>
        <w:t xml:space="preserve">L'option --gzip divise par cinq environ le volume à transférer.</w:t>
      </w:r>
    </w:p>
    <w:p>
      <w:pPr>
        <w:pStyle w:val="ListParagraph"/>
        <w:numPr>
          <w:ilvl w:val="0"/>
          <w:numId w:val="2"/>
        </w:numPr>
        <w:spacing w:after="80"/>
      </w:pPr>
      <w:r>
        <w:rPr>
          <w:rFonts w:ascii="Calibri" w:cs="Calibri" w:eastAsia="Calibri" w:hAnsi="Calibri"/>
          <w:sz w:val="21"/>
          <w:szCs w:val="21"/>
        </w:rPr>
        <w:t xml:space="preserve">Pour n'exporter qu'une partie : --sections users expl data kyc, ou --filiale SN ML pour restreindre les tables clients.</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Le script affiche le décompte de chaque section et se termine par « Total : N lignes ».</w:t>
      </w:r>
    </w:p>
    <w:p>
      <w:pPr>
        <w:pStyle w:val="ListParagraph"/>
        <w:numPr>
          <w:ilvl w:val="0"/>
          <w:numId w:val="2"/>
        </w:numPr>
        <w:spacing w:after="80"/>
      </w:pPr>
      <w:r>
        <w:rPr>
          <w:rFonts w:ascii="Calibri" w:cs="Calibri" w:eastAsia="Calibri" w:hAnsi="Calibri"/>
          <w:sz w:val="21"/>
          <w:szCs w:val="21"/>
        </w:rPr>
        <w:t xml:space="preserve">Le répertoire data_all_prod contient manifest_data_all.json, users.json, codes_expl.json, data.json, kyc_pp.jsonl.gz et kyc_pm.jsonl.gz.</w:t>
      </w:r>
    </w:p>
    <w:p>
      <w:pPr>
        <w:pStyle w:val="ListParagraph"/>
        <w:numPr>
          <w:ilvl w:val="0"/>
          <w:numId w:val="2"/>
        </w:numPr>
        <w:spacing w:after="80"/>
      </w:pPr>
      <w:r>
        <w:rPr>
          <w:rFonts w:ascii="Calibri" w:cs="Calibri" w:eastAsia="Calibri" w:hAnsi="Calibri"/>
          <w:sz w:val="21"/>
          <w:szCs w:val="21"/>
        </w:rPr>
        <w:t xml:space="preserve">Les volumes annoncés correspondent à l'ordre de grandeur attendu (environ un million de lignes pour Kyc_pp).</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L'export est en lecture seule : il ne modifie jamais la base de production. En cas d'interruption, supprimer le répertoire incomplet et relancer la commande.</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3 — Copie des données vers la machine de test</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Transférer le répertoire d'export depuis la machine de production vers celle qui héberge l'environnement de test.</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Depuis la machine de production, puis sur la machine de test.</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0" w:before="60"/>
        <w:ind w:left="200" w:right="200"/>
      </w:pPr>
      <w:r>
        <w:rPr>
          <w:rFonts w:ascii="Consolas" w:cs="Consolas" w:eastAsia="Consolas" w:hAnsi="Consolas"/>
          <w:sz w:val="19"/>
          <w:szCs w:val="19"/>
        </w:rPr>
        <w:t xml:space="preserve"># Sur la machine de production</w:t>
      </w:r>
    </w:p>
    <w:p>
      <w:pPr>
        <w:pBdr>
          <w:left w:val="single" w:color="2E5C8A" w:sz="12" w:space="8"/>
        </w:pBdr>
        <w:shd w:fill="F5F5F5" w:val="clear"/>
        <w:spacing w:after="0" w:before="0"/>
        <w:ind w:left="200" w:right="200"/>
      </w:pPr>
      <w:r>
        <w:rPr>
          <w:rFonts w:ascii="Consolas" w:cs="Consolas" w:eastAsia="Consolas" w:hAnsi="Consolas"/>
          <w:sz w:val="19"/>
          <w:szCs w:val="19"/>
        </w:rPr>
        <w:t xml:space="preserve">Compress-Archive -Path data_all_prod -DestinationPath data_all_prod.zip</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Après transfert, sur la machine de test</w:t>
      </w:r>
    </w:p>
    <w:p>
      <w:pPr>
        <w:pBdr>
          <w:left w:val="single" w:color="2E5C8A" w:sz="12" w:space="8"/>
        </w:pBdr>
        <w:shd w:fill="F5F5F5" w:val="clear"/>
        <w:spacing w:after="140" w:before="0"/>
        <w:ind w:left="200" w:right="200"/>
      </w:pPr>
      <w:r>
        <w:rPr>
          <w:rFonts w:ascii="Consolas" w:cs="Consolas" w:eastAsia="Consolas" w:hAnsi="Consolas"/>
          <w:sz w:val="19"/>
          <w:szCs w:val="19"/>
        </w:rPr>
        <w:t xml:space="preserve">Expand-Archive -Path data_all_prod.zip -DestinationPath . -Force</w:t>
      </w:r>
    </w:p>
    <w:p>
      <w:pPr>
        <w:pStyle w:val="ListParagraph"/>
        <w:numPr>
          <w:ilvl w:val="0"/>
          <w:numId w:val="2"/>
        </w:numPr>
        <w:spacing w:after="80"/>
      </w:pPr>
      <w:r>
        <w:rPr>
          <w:rFonts w:ascii="Calibri" w:cs="Calibri" w:eastAsia="Calibri" w:hAnsi="Calibri"/>
          <w:sz w:val="21"/>
          <w:szCs w:val="21"/>
        </w:rPr>
        <w:t xml:space="preserve">Le transfert peut se faire par partage réseau, robocopy ou tout autre moyen conforme aux règles de sécurité en vigueur.</w:t>
      </w:r>
    </w:p>
    <w:p>
      <w:pPr>
        <w:pStyle w:val="ListParagraph"/>
        <w:numPr>
          <w:ilvl w:val="0"/>
          <w:numId w:val="2"/>
        </w:numPr>
        <w:spacing w:after="80"/>
      </w:pPr>
      <w:r>
        <w:rPr>
          <w:rFonts w:ascii="Calibri" w:cs="Calibri" w:eastAsia="Calibri" w:hAnsi="Calibri"/>
          <w:sz w:val="21"/>
          <w:szCs w:val="21"/>
        </w:rPr>
        <w:t xml:space="preserve">Le répertoire doit être décompressé à la racine du projet, à côté de manage.py.</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Le répertoire data_all_prod est présent sur la machine de test et contient manifest_data_all.json.</w:t>
      </w:r>
    </w:p>
    <w:p>
      <w:pPr>
        <w:pStyle w:val="ListParagraph"/>
        <w:numPr>
          <w:ilvl w:val="0"/>
          <w:numId w:val="2"/>
        </w:numPr>
        <w:spacing w:after="80"/>
      </w:pPr>
      <w:r>
        <w:rPr>
          <w:rFonts w:ascii="Calibri" w:cs="Calibri" w:eastAsia="Calibri" w:hAnsi="Calibri"/>
          <w:sz w:val="21"/>
          <w:szCs w:val="21"/>
        </w:rPr>
        <w:t xml:space="preserve">La taille totale du répertoire correspond à celle constatée en sortie de l'étape 2.</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Un transfert partiel produit un import tronqué sans nécessairement lever d'erreur. En cas de doute, comparer les tailles de fichiers des deux côtés et recommencer le transfert.</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4 — Mise à niveau du schéma de la base de test</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Aligner le schéma de la base de test sur celui du code avant tout chargement de données.</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Sur la machine de test, à la racine du projet, environnement virtuel activé.</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0" w:before="60"/>
        <w:ind w:left="200" w:right="200"/>
      </w:pPr>
      <w:r>
        <w:rPr>
          <w:rFonts w:ascii="Consolas" w:cs="Consolas" w:eastAsia="Consolas" w:hAnsi="Consolas"/>
          <w:sz w:val="19"/>
          <w:szCs w:val="19"/>
        </w:rPr>
        <w:t xml:space="preserve">python manage.py makemigrations</w:t>
      </w:r>
    </w:p>
    <w:p>
      <w:pPr>
        <w:pBdr>
          <w:left w:val="single" w:color="2E5C8A" w:sz="12" w:space="8"/>
        </w:pBdr>
        <w:shd w:fill="F5F5F5" w:val="clear"/>
        <w:spacing w:after="0" w:before="0"/>
        <w:ind w:left="200" w:right="200"/>
      </w:pPr>
      <w:r>
        <w:rPr>
          <w:rFonts w:ascii="Consolas" w:cs="Consolas" w:eastAsia="Consolas" w:hAnsi="Consolas"/>
          <w:sz w:val="19"/>
          <w:szCs w:val="19"/>
        </w:rPr>
        <w:t xml:space="preserve">python manage.py migrate</w:t>
      </w:r>
    </w:p>
    <w:p>
      <w:pPr>
        <w:pBdr>
          <w:left w:val="single" w:color="2E5C8A" w:sz="12" w:space="8"/>
        </w:pBdr>
        <w:shd w:fill="F5F5F5" w:val="clear"/>
        <w:spacing w:after="140" w:before="0"/>
        <w:ind w:left="200" w:right="200"/>
      </w:pPr>
      <w:r>
        <w:rPr>
          <w:rFonts w:ascii="Consolas" w:cs="Consolas" w:eastAsia="Consolas" w:hAnsi="Consolas"/>
          <w:sz w:val="19"/>
          <w:szCs w:val="19"/>
        </w:rPr>
        <w:t xml:space="preserve">python manage.py check</w:t>
      </w:r>
    </w:p>
    <w:p>
      <w:pPr>
        <w:pStyle w:val="ListParagraph"/>
        <w:numPr>
          <w:ilvl w:val="0"/>
          <w:numId w:val="2"/>
        </w:numPr>
        <w:spacing w:after="80"/>
      </w:pPr>
      <w:r>
        <w:rPr>
          <w:rFonts w:ascii="Calibri" w:cs="Calibri" w:eastAsia="Calibri" w:hAnsi="Calibri"/>
          <w:sz w:val="21"/>
          <w:szCs w:val="21"/>
        </w:rPr>
        <w:t xml:space="preserve">makemigrations ne devrait générer aucune migration si le code est correctement aligné : les migrations doivent venir du dépôt, pas être créées sur place. Toute migration inattendue signale un écart de version à comprendre avant de continuer.</w:t>
      </w:r>
    </w:p>
    <w:p>
      <w:pPr>
        <w:pStyle w:val="ListParagraph"/>
        <w:numPr>
          <w:ilvl w:val="0"/>
          <w:numId w:val="2"/>
        </w:numPr>
        <w:spacing w:after="80"/>
      </w:pPr>
      <w:r>
        <w:rPr>
          <w:rFonts w:ascii="Calibri" w:cs="Calibri" w:eastAsia="Calibri" w:hAnsi="Calibri"/>
          <w:sz w:val="21"/>
          <w:szCs w:val="21"/>
        </w:rPr>
        <w:t xml:space="preserve">migrate est la seule étape qui doit modifier la structure de la base de test.</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makemigrations affiche « No changes detected ».</w:t>
      </w:r>
    </w:p>
    <w:p>
      <w:pPr>
        <w:pStyle w:val="ListParagraph"/>
        <w:numPr>
          <w:ilvl w:val="0"/>
          <w:numId w:val="2"/>
        </w:numPr>
        <w:spacing w:after="80"/>
      </w:pPr>
      <w:r>
        <w:rPr>
          <w:rFonts w:ascii="Calibri" w:cs="Calibri" w:eastAsia="Calibri" w:hAnsi="Calibri"/>
          <w:sz w:val="21"/>
          <w:szCs w:val="21"/>
        </w:rPr>
        <w:t xml:space="preserve">migrate se termine sans erreur, ou applique les migrations attendues.</w:t>
      </w:r>
    </w:p>
    <w:p>
      <w:pPr>
        <w:pStyle w:val="ListParagraph"/>
        <w:numPr>
          <w:ilvl w:val="0"/>
          <w:numId w:val="2"/>
        </w:numPr>
        <w:spacing w:after="80"/>
      </w:pPr>
      <w:r>
        <w:rPr>
          <w:rFonts w:ascii="Calibri" w:cs="Calibri" w:eastAsia="Calibri" w:hAnsi="Calibri"/>
          <w:sz w:val="21"/>
          <w:szCs w:val="21"/>
        </w:rPr>
        <w:t xml:space="preserve">check affiche « System check identified no issues ».</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Ne pas forcer avec --fake. Une migration en échec laisse le schéma dans un état intermédiaire : identifier la migration fautive, corriger, puis relancer migrate.</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5 — Import des données dans la base de test</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Charger les données de production dans la base de test : création et mise à jour des profils, remplacement des données de notation, rechargement des tables clients.</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Sur la machine de test, à la racine du projet, environnement virtuel activé.</w:t>
      </w:r>
    </w:p>
    <w:p>
      <w:pPr>
        <w:spacing w:after="60" w:before="140"/>
      </w:pPr>
      <w:r>
        <w:rPr>
          <w:rFonts w:ascii="Calibri" w:cs="Calibri" w:eastAsia="Calibri" w:hAnsi="Calibri"/>
          <w:b/>
          <w:bCs/>
          <w:color w:val="444444"/>
          <w:sz w:val="21"/>
          <w:szCs w:val="21"/>
        </w:rPr>
        <w:t xml:space="preserve">Commande</w:t>
      </w:r>
    </w:p>
    <w:p>
      <w:pPr>
        <w:pBdr>
          <w:left w:val="single" w:color="2E5C8A" w:sz="12" w:space="8"/>
        </w:pBdr>
        <w:shd w:fill="F5F5F5" w:val="clear"/>
        <w:spacing w:after="0" w:before="60"/>
        <w:ind w:left="200" w:right="200"/>
      </w:pPr>
      <w:r>
        <w:rPr>
          <w:rFonts w:ascii="Consolas" w:cs="Consolas" w:eastAsia="Consolas" w:hAnsi="Consolas"/>
          <w:sz w:val="19"/>
          <w:szCs w:val="19"/>
        </w:rPr>
        <w:t xml:space="preserve"># 1. Simulation, aucune écriture</w:t>
      </w:r>
    </w:p>
    <w:p>
      <w:pPr>
        <w:pBdr>
          <w:left w:val="single" w:color="2E5C8A" w:sz="12" w:space="8"/>
        </w:pBdr>
        <w:shd w:fill="F5F5F5" w:val="clear"/>
        <w:spacing w:after="0" w:before="0"/>
        <w:ind w:left="200" w:right="200"/>
      </w:pPr>
      <w:r>
        <w:rPr>
          <w:rFonts w:ascii="Consolas" w:cs="Consolas" w:eastAsia="Consolas" w:hAnsi="Consolas"/>
          <w:sz w:val="19"/>
          <w:szCs w:val="19"/>
        </w:rPr>
        <w:t xml:space="preserve">python import_data_all.py data_all_prod --dry-run</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w:t>
      </w:r>
    </w:p>
    <w:p>
      <w:pPr>
        <w:pBdr>
          <w:left w:val="single" w:color="2E5C8A" w:sz="12" w:space="8"/>
        </w:pBdr>
        <w:shd w:fill="F5F5F5" w:val="clear"/>
        <w:spacing w:after="0" w:before="0"/>
        <w:ind w:left="200" w:right="200"/>
      </w:pPr>
      <w:r>
        <w:rPr>
          <w:rFonts w:ascii="Consolas" w:cs="Consolas" w:eastAsia="Consolas" w:hAnsi="Consolas"/>
          <w:sz w:val="19"/>
          <w:szCs w:val="19"/>
        </w:rPr>
        <w:t xml:space="preserve"># 2. Import réel</w:t>
      </w:r>
    </w:p>
    <w:p>
      <w:pPr>
        <w:pBdr>
          <w:left w:val="single" w:color="2E5C8A" w:sz="12" w:space="8"/>
        </w:pBdr>
        <w:shd w:fill="F5F5F5" w:val="clear"/>
        <w:spacing w:after="140" w:before="0"/>
        <w:ind w:left="200" w:right="200"/>
      </w:pPr>
      <w:r>
        <w:rPr>
          <w:rFonts w:ascii="Consolas" w:cs="Consolas" w:eastAsia="Consolas" w:hAnsi="Consolas"/>
          <w:sz w:val="19"/>
          <w:szCs w:val="19"/>
        </w:rPr>
        <w:t xml:space="preserve">python import_data_all.py data_all_prod</w:t>
      </w:r>
    </w:p>
    <w:p>
      <w:pPr>
        <w:pStyle w:val="ListParagraph"/>
        <w:numPr>
          <w:ilvl w:val="0"/>
          <w:numId w:val="2"/>
        </w:numPr>
        <w:spacing w:after="80"/>
      </w:pPr>
      <w:r>
        <w:rPr>
          <w:rFonts w:ascii="Calibri" w:cs="Calibri" w:eastAsia="Calibri" w:hAnsi="Calibri"/>
          <w:sz w:val="21"/>
          <w:szCs w:val="21"/>
        </w:rPr>
        <w:t xml:space="preserve">Le passage en --dry-run n'est pas facultatif : il révèle les écarts de colonnes et les fichiers manquants sans rien écrire. En simulation, les sections expl et notation affichent des chiffres pessimistes car les profils ne sont pas réellement créés ; le script le rappelle à l'écran.</w:t>
      </w:r>
    </w:p>
    <w:p>
      <w:pPr>
        <w:pStyle w:val="ListParagraph"/>
        <w:numPr>
          <w:ilvl w:val="0"/>
          <w:numId w:val="2"/>
        </w:numPr>
        <w:spacing w:after="80"/>
      </w:pPr>
      <w:r>
        <w:rPr>
          <w:rFonts w:ascii="Calibri" w:cs="Calibri" w:eastAsia="Calibri" w:hAnsi="Calibri"/>
          <w:sz w:val="21"/>
          <w:szCs w:val="21"/>
        </w:rPr>
        <w:t xml:space="preserve">L'import demande une confirmation par OUI car les tables TauxEvolution, TauxEvolution_filiale, Devise, Notation, Kyc_pp et Kyc_pm sont vidées avant rechargement.</w:t>
      </w:r>
    </w:p>
    <w:p>
      <w:pPr>
        <w:pStyle w:val="ListParagraph"/>
        <w:numPr>
          <w:ilvl w:val="0"/>
          <w:numId w:val="2"/>
        </w:numPr>
        <w:spacing w:after="80"/>
      </w:pPr>
      <w:r>
        <w:rPr>
          <w:rFonts w:ascii="Calibri" w:cs="Calibri" w:eastAsia="Calibri" w:hAnsi="Calibri"/>
          <w:sz w:val="21"/>
          <w:szCs w:val="21"/>
        </w:rPr>
        <w:t xml:space="preserve">Ajouter --skip-passwords pour ne pas importer les mots de passe de production dans l'environnement de test.</w:t>
      </w:r>
    </w:p>
    <w:p>
      <w:pPr>
        <w:pStyle w:val="ListParagraph"/>
        <w:numPr>
          <w:ilvl w:val="0"/>
          <w:numId w:val="2"/>
        </w:numPr>
        <w:spacing w:after="80"/>
      </w:pPr>
      <w:r>
        <w:rPr>
          <w:rFonts w:ascii="Calibri" w:cs="Calibri" w:eastAsia="Calibri" w:hAnsi="Calibri"/>
          <w:sz w:val="21"/>
          <w:szCs w:val="21"/>
        </w:rPr>
        <w:t xml:space="preserve">Ajouter --kyc-mode append pour compléter les tables clients au lieu de les remplacer.</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Le script se termine par « Import termine » sans trace d'erreur.</w:t>
      </w:r>
    </w:p>
    <w:p>
      <w:pPr>
        <w:pStyle w:val="ListParagraph"/>
        <w:numPr>
          <w:ilvl w:val="0"/>
          <w:numId w:val="2"/>
        </w:numPr>
        <w:spacing w:after="80"/>
      </w:pPr>
      <w:r>
        <w:rPr>
          <w:rFonts w:ascii="Calibri" w:cs="Calibri" w:eastAsia="Calibri" w:hAnsi="Calibri"/>
          <w:sz w:val="21"/>
          <w:szCs w:val="21"/>
        </w:rPr>
        <w:t xml:space="preserve">Les décomptes affichés par section correspondent à ceux de l'étape 2.</w:t>
      </w:r>
    </w:p>
    <w:p>
      <w:pPr>
        <w:pStyle w:val="ListParagraph"/>
        <w:numPr>
          <w:ilvl w:val="0"/>
          <w:numId w:val="2"/>
        </w:numPr>
        <w:spacing w:after="80"/>
      </w:pPr>
      <w:r>
        <w:rPr>
          <w:rFonts w:ascii="Calibri" w:cs="Calibri" w:eastAsia="Calibri" w:hAnsi="Calibri"/>
          <w:sz w:val="21"/>
          <w:szCs w:val="21"/>
        </w:rPr>
        <w:t xml:space="preserve">Les éventuelles lignes « colonnes absentes de l'export » ou « notations ignorées » sont lues et comprises : elles signalent un écart entre les deux installations.</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L'ensemble s'exécute dans une transaction unique : en cas d'erreur, aucune écriture n'est conservée et la base de test reste dans son état antérieur. Corriger la cause signalée par le message, puis relancer la commande complète.</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6 — Configurations dans l'administration Django</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Renseigner les paramètres applicatifs qui ne figurent pas dans l'export : serveur SMTP, accès aux onglets par organe, modules activés par filiale et paramétrage du scoring.</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Sur https://kyc-test.of.africa/admin/, avec un compte superutilisateur.</w:t>
      </w:r>
    </w:p>
    <w:tbl>
      <w:tblPr>
        <w:tblW w:type="dxa" w:w="9026"/>
        <w:tblBorders>
          <w:top w:val="single" w:color="2E5C8A" w:sz="4"/>
          <w:left w:val="single" w:color="2E5C8A" w:sz="24"/>
          <w:bottom w:val="single" w:color="2E5C8A" w:sz="4"/>
          <w:right w:val="single" w:color="2E5C8A"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2E5C8A"/>
                <w:sz w:val="21"/>
                <w:szCs w:val="21"/>
              </w:rPr>
              <w:t xml:space="preserve">Pourquoi cette étape est nécessaire</w:t>
            </w:r>
          </w:p>
          <w:p>
            <w:pPr>
              <w:spacing w:after="0"/>
            </w:pPr>
            <w:r>
              <w:rPr>
                <w:rFonts w:ascii="Calibri" w:cs="Calibri" w:eastAsia="Calibri" w:hAnsi="Calibri"/>
                <w:sz w:val="20"/>
                <w:szCs w:val="20"/>
              </w:rPr>
              <w:t xml:space="preserve">Les tables de configuration ne font pas partie de l'export : celui-ci porte sur les profils, les codes exploitant, les données de notation et les tables clients. Après l'import, la base de test conserve donc ses propres réglages, qui peuvent être vides ou obsolètes. Un profil correctement importé mais sans accès sidebar ouvrira une session sur une plateforme vide.</w:t>
            </w:r>
          </w:p>
        </w:tc>
      </w:tr>
    </w:tbl>
    <w:p>
      <w:pPr>
        <w:spacing w:after="120" w:line="276"/>
      </w:pPr>
      <w:r>
        <w:rPr>
          <w:rFonts w:ascii="Calibri" w:cs="Calibri" w:eastAsia="Calibri" w:hAnsi="Calibri"/>
          <w:sz w:val="21"/>
          <w:szCs w:val="21"/>
        </w:rPr>
        <w:t xml:space="preserve"/>
      </w:r>
    </w:p>
    <w:p>
      <w:pPr>
        <w:spacing w:after="60" w:before="140"/>
      </w:pPr>
      <w:r>
        <w:rPr>
          <w:rFonts w:ascii="Calibri" w:cs="Calibri" w:eastAsia="Calibri" w:hAnsi="Calibri"/>
          <w:b/>
          <w:bCs/>
          <w:color w:val="444444"/>
          <w:sz w:val="21"/>
          <w:szCs w:val="21"/>
        </w:rPr>
        <w:t xml:space="preserve">Écrans à vérifier, dans cet ordre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126"/>
        <w:gridCol w:w="2000"/>
      </w:tblGrid>
      <w:tr>
        <w:trPr>
          <w:tblHeader/>
        </w:trPr>
        <w:tc>
          <w:tcPr>
            <w:tcW w:type="dxa" w:w="29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Écran d'administration</w:t>
            </w:r>
          </w:p>
        </w:tc>
        <w:tc>
          <w:tcPr>
            <w:tcW w:type="dxa" w:w="4126"/>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Ce qui s'y règle</w:t>
            </w:r>
          </w:p>
        </w:tc>
        <w:tc>
          <w:tcPr>
            <w:tcW w:type="dxa" w:w="20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Portée</w:t>
            </w:r>
          </w:p>
        </w:tc>
      </w:tr>
      <w:tr>
        <w:tc>
          <w:tcPr>
            <w:tcW w:type="dxa" w:w="2900"/>
            <w:tcMar>
              <w:top w:type="dxa" w:w="80"/>
              <w:left w:type="dxa" w:w="120"/>
              <w:bottom w:type="dxa" w:w="80"/>
              <w:right w:type="dxa" w:w="120"/>
            </w:tcMar>
          </w:tcPr>
          <w:p>
            <w:r>
              <w:rPr>
                <w:rFonts w:ascii="Calibri" w:cs="Calibri" w:eastAsia="Calibri" w:hAnsi="Calibri"/>
                <w:b/>
                <w:bCs/>
                <w:sz w:val="19"/>
                <w:szCs w:val="19"/>
              </w:rPr>
              <w:t xml:space="preserve">Configurations Rappel Scoring</w:t>
            </w:r>
          </w:p>
        </w:tc>
        <w:tc>
          <w:tcPr>
            <w:tcW w:type="dxa" w:w="4126"/>
            <w:tcMar>
              <w:top w:type="dxa" w:w="80"/>
              <w:left w:type="dxa" w:w="120"/>
              <w:bottom w:type="dxa" w:w="80"/>
              <w:right w:type="dxa" w:w="120"/>
            </w:tcMar>
          </w:tcPr>
          <w:p>
            <w:r>
              <w:rPr>
                <w:rFonts w:ascii="Calibri" w:cs="Calibri" w:eastAsia="Calibri" w:hAnsi="Calibri"/>
                <w:b w:val="false"/>
                <w:bCs w:val="false"/>
                <w:sz w:val="19"/>
                <w:szCs w:val="19"/>
              </w:rPr>
              <w:t xml:space="preserve">Serveur SMTP et envoi des rappels</w:t>
            </w:r>
          </w:p>
        </w:tc>
        <w:tc>
          <w:tcPr>
            <w:tcW w:type="dxa" w:w="2000"/>
            <w:tcMar>
              <w:top w:type="dxa" w:w="80"/>
              <w:left w:type="dxa" w:w="120"/>
              <w:bottom w:type="dxa" w:w="80"/>
              <w:right w:type="dxa" w:w="120"/>
            </w:tcMar>
          </w:tcPr>
          <w:p>
            <w:r>
              <w:rPr>
                <w:rFonts w:ascii="Calibri" w:cs="Calibri" w:eastAsia="Calibri" w:hAnsi="Calibri"/>
                <w:b w:val="false"/>
                <w:bCs w:val="false"/>
                <w:sz w:val="19"/>
                <w:szCs w:val="19"/>
              </w:rPr>
              <w:t xml:space="preserve">Global</w:t>
            </w:r>
          </w:p>
        </w:tc>
      </w:tr>
      <w:tr>
        <w:tc>
          <w:tcPr>
            <w:tcW w:type="dxa" w:w="2900"/>
            <w:shd w:fill="F2F4F7" w:val="clear"/>
            <w:tcMar>
              <w:top w:type="dxa" w:w="80"/>
              <w:left w:type="dxa" w:w="120"/>
              <w:bottom w:type="dxa" w:w="80"/>
              <w:right w:type="dxa" w:w="120"/>
            </w:tcMar>
          </w:tcPr>
          <w:p>
            <w:r>
              <w:rPr>
                <w:rFonts w:ascii="Calibri" w:cs="Calibri" w:eastAsia="Calibri" w:hAnsi="Calibri"/>
                <w:b/>
                <w:bCs/>
                <w:sz w:val="19"/>
                <w:szCs w:val="19"/>
              </w:rPr>
              <w:t xml:space="preserve">Acces sidebar (par organe)</w:t>
            </w:r>
          </w:p>
        </w:tc>
        <w:tc>
          <w:tcPr>
            <w:tcW w:type="dxa" w:w="41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Onglets visibles dans le menu latéral</w:t>
            </w:r>
          </w:p>
        </w:tc>
        <w:tc>
          <w:tcPr>
            <w:tcW w:type="dxa" w:w="20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Par organe</w:t>
            </w:r>
          </w:p>
        </w:tc>
      </w:tr>
      <w:tr>
        <w:tc>
          <w:tcPr>
            <w:tcW w:type="dxa" w:w="2900"/>
            <w:tcMar>
              <w:top w:type="dxa" w:w="80"/>
              <w:left w:type="dxa" w:w="120"/>
              <w:bottom w:type="dxa" w:w="80"/>
              <w:right w:type="dxa" w:w="120"/>
            </w:tcMar>
          </w:tcPr>
          <w:p>
            <w:r>
              <w:rPr>
                <w:rFonts w:ascii="Calibri" w:cs="Calibri" w:eastAsia="Calibri" w:hAnsi="Calibri"/>
                <w:b/>
                <w:bCs/>
                <w:sz w:val="19"/>
                <w:szCs w:val="19"/>
              </w:rPr>
              <w:t xml:space="preserve">Acces Screening KYC ID (par organe)</w:t>
            </w:r>
          </w:p>
        </w:tc>
        <w:tc>
          <w:tcPr>
            <w:tcW w:type="dxa" w:w="4126"/>
            <w:tcMar>
              <w:top w:type="dxa" w:w="80"/>
              <w:left w:type="dxa" w:w="120"/>
              <w:bottom w:type="dxa" w:w="80"/>
              <w:right w:type="dxa" w:w="120"/>
            </w:tcMar>
          </w:tcPr>
          <w:p>
            <w:r>
              <w:rPr>
                <w:rFonts w:ascii="Calibri" w:cs="Calibri" w:eastAsia="Calibri" w:hAnsi="Calibri"/>
                <w:b w:val="false"/>
                <w:bCs w:val="false"/>
                <w:sz w:val="19"/>
                <w:szCs w:val="19"/>
              </w:rPr>
              <w:t xml:space="preserve">Onglets et droits du module Screening</w:t>
            </w:r>
          </w:p>
        </w:tc>
        <w:tc>
          <w:tcPr>
            <w:tcW w:type="dxa" w:w="2000"/>
            <w:tcMar>
              <w:top w:type="dxa" w:w="80"/>
              <w:left w:type="dxa" w:w="120"/>
              <w:bottom w:type="dxa" w:w="80"/>
              <w:right w:type="dxa" w:w="120"/>
            </w:tcMar>
          </w:tcPr>
          <w:p>
            <w:r>
              <w:rPr>
                <w:rFonts w:ascii="Calibri" w:cs="Calibri" w:eastAsia="Calibri" w:hAnsi="Calibri"/>
                <w:b w:val="false"/>
                <w:bCs w:val="false"/>
                <w:sz w:val="19"/>
                <w:szCs w:val="19"/>
              </w:rPr>
              <w:t xml:space="preserve">Par organe</w:t>
            </w:r>
          </w:p>
        </w:tc>
      </w:tr>
      <w:tr>
        <w:tc>
          <w:tcPr>
            <w:tcW w:type="dxa" w:w="2900"/>
            <w:shd w:fill="F2F4F7" w:val="clear"/>
            <w:tcMar>
              <w:top w:type="dxa" w:w="80"/>
              <w:left w:type="dxa" w:w="120"/>
              <w:bottom w:type="dxa" w:w="80"/>
              <w:right w:type="dxa" w:w="120"/>
            </w:tcMar>
          </w:tcPr>
          <w:p>
            <w:r>
              <w:rPr>
                <w:rFonts w:ascii="Calibri" w:cs="Calibri" w:eastAsia="Calibri" w:hAnsi="Calibri"/>
                <w:b/>
                <w:bCs/>
                <w:sz w:val="19"/>
                <w:szCs w:val="19"/>
              </w:rPr>
              <w:t xml:space="preserve">Configurations Modules Filiales</w:t>
            </w:r>
          </w:p>
        </w:tc>
        <w:tc>
          <w:tcPr>
            <w:tcW w:type="dxa" w:w="41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Modules payants activés</w:t>
            </w:r>
          </w:p>
        </w:tc>
        <w:tc>
          <w:tcPr>
            <w:tcW w:type="dxa" w:w="20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Par filiale</w:t>
            </w:r>
          </w:p>
        </w:tc>
      </w:tr>
      <w:tr>
        <w:tc>
          <w:tcPr>
            <w:tcW w:type="dxa" w:w="2900"/>
            <w:tcMar>
              <w:top w:type="dxa" w:w="80"/>
              <w:left w:type="dxa" w:w="120"/>
              <w:bottom w:type="dxa" w:w="80"/>
              <w:right w:type="dxa" w:w="120"/>
            </w:tcMar>
          </w:tcPr>
          <w:p>
            <w:r>
              <w:rPr>
                <w:rFonts w:ascii="Calibri" w:cs="Calibri" w:eastAsia="Calibri" w:hAnsi="Calibri"/>
                <w:b/>
                <w:bCs/>
                <w:sz w:val="19"/>
                <w:szCs w:val="19"/>
              </w:rPr>
              <w:t xml:space="preserve">Configurations Appréciation globale</w:t>
            </w:r>
          </w:p>
        </w:tc>
        <w:tc>
          <w:tcPr>
            <w:tcW w:type="dxa" w:w="4126"/>
            <w:tcMar>
              <w:top w:type="dxa" w:w="80"/>
              <w:left w:type="dxa" w:w="120"/>
              <w:bottom w:type="dxa" w:w="80"/>
              <w:right w:type="dxa" w:w="120"/>
            </w:tcMar>
          </w:tcPr>
          <w:p>
            <w:r>
              <w:rPr>
                <w:rFonts w:ascii="Calibri" w:cs="Calibri" w:eastAsia="Calibri" w:hAnsi="Calibri"/>
                <w:b w:val="false"/>
                <w:bCs w:val="false"/>
                <w:sz w:val="19"/>
                <w:szCs w:val="19"/>
              </w:rPr>
              <w:t xml:space="preserve">Démarrage de l'appréciation</w:t>
            </w:r>
          </w:p>
        </w:tc>
        <w:tc>
          <w:tcPr>
            <w:tcW w:type="dxa" w:w="2000"/>
            <w:tcMar>
              <w:top w:type="dxa" w:w="80"/>
              <w:left w:type="dxa" w:w="120"/>
              <w:bottom w:type="dxa" w:w="80"/>
              <w:right w:type="dxa" w:w="120"/>
            </w:tcMar>
          </w:tcPr>
          <w:p>
            <w:r>
              <w:rPr>
                <w:rFonts w:ascii="Calibri" w:cs="Calibri" w:eastAsia="Calibri" w:hAnsi="Calibri"/>
                <w:b w:val="false"/>
                <w:bCs w:val="false"/>
                <w:sz w:val="19"/>
                <w:szCs w:val="19"/>
              </w:rPr>
              <w:t xml:space="preserve">Par filiale</w:t>
            </w:r>
          </w:p>
        </w:tc>
      </w:tr>
      <w:tr>
        <w:tc>
          <w:tcPr>
            <w:tcW w:type="dxa" w:w="2900"/>
            <w:shd w:fill="F2F4F7" w:val="clear"/>
            <w:tcMar>
              <w:top w:type="dxa" w:w="80"/>
              <w:left w:type="dxa" w:w="120"/>
              <w:bottom w:type="dxa" w:w="80"/>
              <w:right w:type="dxa" w:w="120"/>
            </w:tcMar>
          </w:tcPr>
          <w:p>
            <w:r>
              <w:rPr>
                <w:rFonts w:ascii="Calibri" w:cs="Calibri" w:eastAsia="Calibri" w:hAnsi="Calibri"/>
                <w:b/>
                <w:bCs/>
                <w:sz w:val="19"/>
                <w:szCs w:val="19"/>
              </w:rPr>
              <w:t xml:space="preserve">Configuration flux qualité</w:t>
            </w:r>
          </w:p>
        </w:tc>
        <w:tc>
          <w:tcPr>
            <w:tcW w:type="dxa" w:w="41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Fenêtre de calcul du taux de qualité</w:t>
            </w:r>
          </w:p>
        </w:tc>
        <w:tc>
          <w:tcPr>
            <w:tcW w:type="dxa" w:w="20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Global</w:t>
            </w:r>
          </w:p>
        </w:tc>
      </w:tr>
    </w:tbl>
    <w:p>
      <w:pPr>
        <w:pStyle w:val="Heading2"/>
        <w:spacing w:after="120" w:before="260"/>
      </w:pPr>
      <w:r>
        <w:rPr>
          <w:rFonts w:ascii="Calibri" w:cs="Calibri" w:eastAsia="Calibri" w:hAnsi="Calibri"/>
          <w:b/>
          <w:bCs/>
          <w:color w:val="2E5C8A"/>
          <w:sz w:val="24"/>
          <w:szCs w:val="24"/>
        </w:rPr>
        <w:t xml:space="preserve">6.1 Configuration SMTP et rappels scoring</w:t>
      </w:r>
    </w:p>
    <w:p>
      <w:pPr>
        <w:spacing w:after="120" w:line="276"/>
      </w:pPr>
      <w:r>
        <w:rPr>
          <w:rFonts w:ascii="Calibri" w:cs="Calibri" w:eastAsia="Calibri" w:hAnsi="Calibri"/>
          <w:sz w:val="21"/>
          <w:szCs w:val="21"/>
        </w:rPr>
        <w:t xml:space="preserve">Écran « Configurations Rappel Scoring ». Renseigner le serveur d'envoi puis les paramètres de la campagne :</w:t>
      </w:r>
    </w:p>
    <w:p>
      <w:pPr>
        <w:pStyle w:val="ListParagraph"/>
        <w:numPr>
          <w:ilvl w:val="0"/>
          <w:numId w:val="2"/>
        </w:numPr>
        <w:spacing w:after="80"/>
      </w:pPr>
      <w:r>
        <w:rPr>
          <w:rFonts w:ascii="Calibri" w:cs="Calibri" w:eastAsia="Calibri" w:hAnsi="Calibri"/>
          <w:sz w:val="21"/>
          <w:szCs w:val="21"/>
        </w:rPr>
        <w:t xml:space="preserve">Serveur : smtp_host, smtp_port, smtp_user, smtp_password, et une seule des deux options smtp_use_tls ou smtp_use_ssl selon le serveur.</w:t>
      </w:r>
    </w:p>
    <w:p>
      <w:pPr>
        <w:pStyle w:val="ListParagraph"/>
        <w:numPr>
          <w:ilvl w:val="0"/>
          <w:numId w:val="2"/>
        </w:numPr>
        <w:spacing w:after="80"/>
      </w:pPr>
      <w:r>
        <w:rPr>
          <w:rFonts w:ascii="Calibri" w:cs="Calibri" w:eastAsia="Calibri" w:hAnsi="Calibri"/>
          <w:sz w:val="21"/>
          <w:szCs w:val="21"/>
        </w:rPr>
        <w:t xml:space="preserve">Expéditeur : from_email et from_name, qui apparaissent dans le message reçu.</w:t>
      </w:r>
    </w:p>
    <w:p>
      <w:pPr>
        <w:pStyle w:val="ListParagraph"/>
        <w:numPr>
          <w:ilvl w:val="0"/>
          <w:numId w:val="2"/>
        </w:numPr>
        <w:spacing w:after="80"/>
      </w:pPr>
      <w:r>
        <w:rPr>
          <w:rFonts w:ascii="Calibri" w:cs="Calibri" w:eastAsia="Calibri" w:hAnsi="Calibri"/>
          <w:sz w:val="21"/>
          <w:szCs w:val="21"/>
        </w:rPr>
        <w:t xml:space="preserve">Campagne : frequency et days_before déterminent la date d'envoi, notify_emails la liste des destinataires en copie.</w:t>
      </w:r>
    </w:p>
    <w:p>
      <w:pPr>
        <w:pStyle w:val="ListParagraph"/>
        <w:numPr>
          <w:ilvl w:val="0"/>
          <w:numId w:val="2"/>
        </w:numPr>
        <w:spacing w:after="80"/>
      </w:pPr>
      <w:r>
        <w:rPr>
          <w:rFonts w:ascii="Calibri" w:cs="Calibri" w:eastAsia="Calibri" w:hAnsi="Calibri"/>
          <w:sz w:val="21"/>
          <w:szCs w:val="21"/>
        </w:rPr>
        <w:t xml:space="preserve">La case active commande l'envoi réel : la laisser décochée tant que la recette n'est pas terminée.</w:t>
      </w:r>
    </w:p>
    <w:tbl>
      <w:tblPr>
        <w:tblW w:type="dxa" w:w="9026"/>
        <w:tblBorders>
          <w:top w:val="single" w:color="9C2B2B" w:sz="4"/>
          <w:left w:val="single" w:color="9C2B2B" w:sz="24"/>
          <w:bottom w:val="single" w:color="9C2B2B" w:sz="4"/>
          <w:right w:val="single" w:color="9C2B2B"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9C2B2B"/>
                <w:sz w:val="21"/>
                <w:szCs w:val="21"/>
              </w:rPr>
              <w:t xml:space="preserve">Précaution sur l'environnement de test</w:t>
            </w:r>
          </w:p>
          <w:p>
            <w:pPr>
              <w:spacing w:after="0"/>
            </w:pPr>
            <w:r>
              <w:rPr>
                <w:rFonts w:ascii="Calibri" w:cs="Calibri" w:eastAsia="Calibri" w:hAnsi="Calibri"/>
                <w:sz w:val="20"/>
                <w:szCs w:val="20"/>
              </w:rPr>
              <w:t xml:space="preserve">Ne pas recopier tels quels le serveur SMTP et les destinataires de production : la plateforme de test enverrait de vrais courriels à de vrais agents. Utiliser un serveur de test ou une adresse interne, et vérifier notify_emails avant d'activer.</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Un bouton de test est disponible sur l'écran des rappels de la plateforme (Rappels scoring, action « Tester la configuration SMTP ») : il valide la connexion sans déclencher de campagne.</w:t>
      </w:r>
    </w:p>
    <w:p>
      <w:pPr>
        <w:pStyle w:val="Heading2"/>
        <w:spacing w:after="120" w:before="260"/>
      </w:pPr>
      <w:r>
        <w:rPr>
          <w:rFonts w:ascii="Calibri" w:cs="Calibri" w:eastAsia="Calibri" w:hAnsi="Calibri"/>
          <w:b/>
          <w:bCs/>
          <w:color w:val="2E5C8A"/>
          <w:sz w:val="24"/>
          <w:szCs w:val="24"/>
        </w:rPr>
        <w:t xml:space="preserve">6.2 Accès aux onglets par organe</w:t>
      </w:r>
    </w:p>
    <w:p>
      <w:pPr>
        <w:spacing w:after="120" w:line="276"/>
      </w:pPr>
      <w:r>
        <w:rPr>
          <w:rFonts w:ascii="Calibri" w:cs="Calibri" w:eastAsia="Calibri" w:hAnsi="Calibri"/>
          <w:sz w:val="21"/>
          <w:szCs w:val="21"/>
        </w:rPr>
        <w:t xml:space="preserve">Écran « Acces sidebar (par organe) ». Une ligne par organe, avec une case par onglet du menu latéral :</w:t>
      </w:r>
    </w:p>
    <w:p>
      <w:pPr>
        <w:spacing w:after="120" w:line="276"/>
      </w:pPr>
      <w:r>
        <w:rPr>
          <w:rFonts w:ascii="Consolas" w:cs="Consolas" w:eastAsia="Consolas" w:hAnsi="Consolas"/>
          <w:sz w:val="19"/>
          <w:szCs w:val="19"/>
        </w:rPr>
        <w:t xml:space="preserve">dashboard, agents_notes, champs_non_renseignes, clients_anomalie, scoring_clients, screening_kyc, nouvelle_notation, historique_notation, ppe, comptes_specifiques, parametrage_utilisateurs, regles_qualite, champs_kyc, documents_screening, rappels_scoring, pilotage, audit.</w:t>
      </w:r>
    </w:p>
    <w:p>
      <w:pPr>
        <w:pStyle w:val="ListParagraph"/>
        <w:numPr>
          <w:ilvl w:val="0"/>
          <w:numId w:val="2"/>
        </w:numPr>
        <w:spacing w:after="80"/>
      </w:pPr>
      <w:r>
        <w:rPr>
          <w:rFonts w:ascii="Calibri" w:cs="Calibri" w:eastAsia="Calibri" w:hAnsi="Calibri"/>
          <w:sz w:val="21"/>
          <w:szCs w:val="21"/>
        </w:rPr>
        <w:t xml:space="preserve">Vérifier qu'il existe une ligne pour chaque organe présent dans les profils importés : un organe sans ligne se retrouve sans menu.</w:t>
      </w:r>
    </w:p>
    <w:p>
      <w:pPr>
        <w:pStyle w:val="ListParagraph"/>
        <w:numPr>
          <w:ilvl w:val="0"/>
          <w:numId w:val="2"/>
        </w:numPr>
        <w:spacing w:after="80"/>
      </w:pPr>
      <w:r>
        <w:rPr>
          <w:rFonts w:ascii="Calibri" w:cs="Calibri" w:eastAsia="Calibri" w:hAnsi="Calibri"/>
          <w:sz w:val="21"/>
          <w:szCs w:val="21"/>
        </w:rPr>
        <w:t xml:space="preserve">L'onglet scoring_clients commande l'accès au module de scoring des clients.</w:t>
      </w:r>
    </w:p>
    <w:p>
      <w:pPr>
        <w:pStyle w:val="ListParagraph"/>
        <w:numPr>
          <w:ilvl w:val="0"/>
          <w:numId w:val="2"/>
        </w:numPr>
        <w:spacing w:after="80"/>
      </w:pPr>
      <w:r>
        <w:rPr>
          <w:rFonts w:ascii="Calibri" w:cs="Calibri" w:eastAsia="Calibri" w:hAnsi="Calibri"/>
          <w:sz w:val="21"/>
          <w:szCs w:val="21"/>
        </w:rPr>
        <w:t xml:space="preserve">L'onglet screening_kyc ouvre le module Screening KYC ID, dont le détail se règle en 6.3.</w:t>
      </w:r>
    </w:p>
    <w:p>
      <w:pPr>
        <w:pStyle w:val="Heading2"/>
        <w:spacing w:after="120" w:before="260"/>
      </w:pPr>
      <w:r>
        <w:rPr>
          <w:rFonts w:ascii="Calibri" w:cs="Calibri" w:eastAsia="Calibri" w:hAnsi="Calibri"/>
          <w:b/>
          <w:bCs/>
          <w:color w:val="2E5C8A"/>
          <w:sz w:val="24"/>
          <w:szCs w:val="24"/>
        </w:rPr>
        <w:t xml:space="preserve">6.3 Droits du module Screening KYC ID</w:t>
      </w:r>
    </w:p>
    <w:p>
      <w:pPr>
        <w:spacing w:after="120" w:line="276"/>
      </w:pPr>
      <w:r>
        <w:rPr>
          <w:rFonts w:ascii="Calibri" w:cs="Calibri" w:eastAsia="Calibri" w:hAnsi="Calibri"/>
          <w:sz w:val="21"/>
          <w:szCs w:val="21"/>
        </w:rPr>
        <w:t xml:space="preserve">Écran « Acces Screening KYC ID (par organe) ». Au-delà de la visibilité de l'onglet, cet écran commande le détail du module :</w:t>
      </w:r>
    </w:p>
    <w:p>
      <w:pPr>
        <w:pStyle w:val="ListParagraph"/>
        <w:numPr>
          <w:ilvl w:val="0"/>
          <w:numId w:val="2"/>
        </w:numPr>
        <w:spacing w:after="80"/>
      </w:pPr>
      <w:r>
        <w:rPr>
          <w:rFonts w:ascii="Calibri" w:cs="Calibri" w:eastAsia="Calibri" w:hAnsi="Calibri"/>
          <w:sz w:val="21"/>
          <w:szCs w:val="21"/>
        </w:rPr>
        <w:t xml:space="preserve">Onglets : tab_charger, tab_suivi, tab_resultats, tab_sources, tab_documents.</w:t>
      </w:r>
    </w:p>
    <w:p>
      <w:pPr>
        <w:pStyle w:val="ListParagraph"/>
        <w:numPr>
          <w:ilvl w:val="0"/>
          <w:numId w:val="2"/>
        </w:numPr>
        <w:spacing w:after="80"/>
      </w:pPr>
      <w:r>
        <w:rPr>
          <w:rFonts w:ascii="Calibri" w:cs="Calibri" w:eastAsia="Calibri" w:hAnsi="Calibri"/>
          <w:sz w:val="21"/>
          <w:szCs w:val="21"/>
        </w:rPr>
        <w:t xml:space="preserve">Actions : can_upload_batches autorise le chargement des lots, can_run_matching le lancement des rapprochements.</w:t>
      </w:r>
    </w:p>
    <w:p>
      <w:pPr>
        <w:pStyle w:val="ListParagraph"/>
        <w:numPr>
          <w:ilvl w:val="0"/>
          <w:numId w:val="2"/>
        </w:numPr>
        <w:spacing w:after="80"/>
      </w:pPr>
      <w:r>
        <w:rPr>
          <w:rFonts w:ascii="Calibri" w:cs="Calibri" w:eastAsia="Calibri" w:hAnsi="Calibri"/>
          <w:sz w:val="21"/>
          <w:szCs w:val="21"/>
        </w:rPr>
        <w:t xml:space="preserve">En l'absence de ligne pour un organe, la plateforme retombe sur la règle historique réservée aux profils DSI et PASS.</w:t>
      </w:r>
    </w:p>
    <w:p>
      <w:pPr>
        <w:pStyle w:val="Heading2"/>
        <w:spacing w:after="120" w:before="260"/>
      </w:pPr>
      <w:r>
        <w:rPr>
          <w:rFonts w:ascii="Calibri" w:cs="Calibri" w:eastAsia="Calibri" w:hAnsi="Calibri"/>
          <w:b/>
          <w:bCs/>
          <w:color w:val="2E5C8A"/>
          <w:sz w:val="24"/>
          <w:szCs w:val="24"/>
        </w:rPr>
        <w:t xml:space="preserve">6.4 Modules par filiale et scoring</w:t>
      </w:r>
    </w:p>
    <w:p>
      <w:pPr>
        <w:pStyle w:val="ListParagraph"/>
        <w:numPr>
          <w:ilvl w:val="0"/>
          <w:numId w:val="2"/>
        </w:numPr>
        <w:spacing w:after="80"/>
      </w:pPr>
      <w:r>
        <w:rPr>
          <w:rFonts w:ascii="Calibri" w:cs="Calibri" w:eastAsia="Calibri" w:hAnsi="Calibri"/>
          <w:sz w:val="21"/>
          <w:szCs w:val="21"/>
        </w:rPr>
        <w:t xml:space="preserve">Écran « Configurations Modules Filiales » : screening_kyc_paye_active et daterev_reminder_paye_active activent les modules payants, filiale par filiale. Une filiale absente de cette table n'a accès à aucun des deux.</w:t>
      </w:r>
    </w:p>
    <w:p>
      <w:pPr>
        <w:pStyle w:val="ListParagraph"/>
        <w:numPr>
          <w:ilvl w:val="0"/>
          <w:numId w:val="2"/>
        </w:numPr>
        <w:spacing w:after="80"/>
      </w:pPr>
      <w:r>
        <w:rPr>
          <w:rFonts w:ascii="Calibri" w:cs="Calibri" w:eastAsia="Calibri" w:hAnsi="Calibri"/>
          <w:sz w:val="21"/>
          <w:szCs w:val="21"/>
        </w:rPr>
        <w:t xml:space="preserve">Écran « Configurations Appréciation globale » : date_demarrage fixe le point de départ de l'appréciation, active la met en service. À contrôler pour chaque filiale attendue en test.</w:t>
      </w:r>
    </w:p>
    <w:p>
      <w:pPr>
        <w:pStyle w:val="ListParagraph"/>
        <w:numPr>
          <w:ilvl w:val="0"/>
          <w:numId w:val="2"/>
        </w:numPr>
        <w:spacing w:after="80"/>
      </w:pPr>
      <w:r>
        <w:rPr>
          <w:rFonts w:ascii="Calibri" w:cs="Calibri" w:eastAsia="Calibri" w:hAnsi="Calibri"/>
          <w:sz w:val="21"/>
          <w:szCs w:val="21"/>
        </w:rPr>
        <w:t xml:space="preserve">Écran « Configuration flux qualité » : flux_window définit la fenêtre retenue pour le taux de qualité en flux, veille ou mois précédent. Le réglage conditionne les chiffres affichés au tableau de bord.</w:t>
      </w:r>
    </w:p>
    <w:p>
      <w:pPr>
        <w:pStyle w:val="ListParagraph"/>
        <w:numPr>
          <w:ilvl w:val="0"/>
          <w:numId w:val="2"/>
        </w:numPr>
        <w:spacing w:after="80"/>
      </w:pPr>
      <w:r>
        <w:rPr>
          <w:rFonts w:ascii="Calibri" w:cs="Calibri" w:eastAsia="Calibri" w:hAnsi="Calibri"/>
          <w:sz w:val="21"/>
          <w:szCs w:val="21"/>
        </w:rPr>
        <w:t xml:space="preserve">Écran « Règles qualité » : à comparer avec la production si la recette porte sur le contrôle qualité, ces règles n'étant pas transportées par l'export.</w:t>
      </w:r>
    </w:p>
    <w:p>
      <w:pPr>
        <w:spacing w:after="60" w:before="140"/>
      </w:pPr>
      <w:r>
        <w:rPr>
          <w:rFonts w:ascii="Calibri" w:cs="Calibri" w:eastAsia="Calibri" w:hAnsi="Calibri"/>
          <w:b/>
          <w:bCs/>
          <w:color w:val="444444"/>
          <w:sz w:val="21"/>
          <w:szCs w:val="21"/>
        </w:rPr>
        <w:t xml:space="preserve">Après les modifications</w:t>
      </w:r>
    </w:p>
    <w:p>
      <w:pPr>
        <w:spacing w:after="120" w:line="276"/>
      </w:pPr>
      <w:r>
        <w:rPr>
          <w:rFonts w:ascii="Calibri" w:cs="Calibri" w:eastAsia="Calibri" w:hAnsi="Calibri"/>
          <w:sz w:val="21"/>
          <w:szCs w:val="21"/>
        </w:rPr>
        <w:t xml:space="preserve">Les écrans sont mis en cache par périmètre : vider le cache puis relancer le préchauffage, sinon les changements d'accès ne seront pas visibles immédiatement.</w:t>
      </w:r>
    </w:p>
    <w:p>
      <w:pPr>
        <w:pBdr>
          <w:left w:val="single" w:color="2E5C8A" w:sz="12" w:space="8"/>
        </w:pBdr>
        <w:shd w:fill="F5F5F5" w:val="clear"/>
        <w:spacing w:after="0" w:before="60"/>
        <w:ind w:left="200" w:right="200"/>
      </w:pPr>
      <w:r>
        <w:rPr>
          <w:rFonts w:ascii="Consolas" w:cs="Consolas" w:eastAsia="Consolas" w:hAnsi="Consolas"/>
          <w:sz w:val="19"/>
          <w:szCs w:val="19"/>
        </w:rPr>
        <w:t xml:space="preserve">python manage.py shell -c "from django.core.cache import cache; cache.clear()"</w:t>
      </w:r>
    </w:p>
    <w:p>
      <w:pPr>
        <w:pBdr>
          <w:left w:val="single" w:color="2E5C8A" w:sz="12" w:space="8"/>
        </w:pBdr>
        <w:shd w:fill="F5F5F5" w:val="clear"/>
        <w:spacing w:after="140" w:before="0"/>
        <w:ind w:left="200" w:right="200"/>
      </w:pPr>
      <w:r>
        <w:rPr>
          <w:rFonts w:ascii="Consolas" w:cs="Consolas" w:eastAsia="Consolas" w:hAnsi="Consolas"/>
          <w:sz w:val="19"/>
          <w:szCs w:val="19"/>
        </w:rPr>
        <w:t xml:space="preserve">python manage.py warm_ui_caches --users 20 --rules 20</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Chaque organe présent dans les profils importés dispose d'une ligne d'accès sidebar.</w:t>
      </w:r>
    </w:p>
    <w:p>
      <w:pPr>
        <w:pStyle w:val="ListParagraph"/>
        <w:numPr>
          <w:ilvl w:val="0"/>
          <w:numId w:val="2"/>
        </w:numPr>
        <w:spacing w:after="80"/>
      </w:pPr>
      <w:r>
        <w:rPr>
          <w:rFonts w:ascii="Calibri" w:cs="Calibri" w:eastAsia="Calibri" w:hAnsi="Calibri"/>
          <w:sz w:val="21"/>
          <w:szCs w:val="21"/>
        </w:rPr>
        <w:t xml:space="preserve">Le test SMTP aboutit, et notify_emails ne contient aucune adresse de production.</w:t>
      </w:r>
    </w:p>
    <w:p>
      <w:pPr>
        <w:pStyle w:val="ListParagraph"/>
        <w:numPr>
          <w:ilvl w:val="0"/>
          <w:numId w:val="2"/>
        </w:numPr>
        <w:spacing w:after="80"/>
      </w:pPr>
      <w:r>
        <w:rPr>
          <w:rFonts w:ascii="Calibri" w:cs="Calibri" w:eastAsia="Calibri" w:hAnsi="Calibri"/>
          <w:sz w:val="21"/>
          <w:szCs w:val="21"/>
        </w:rPr>
        <w:t xml:space="preserve">Les filiales attendues en test apparaissent dans les configurations de modules et d'appréciation.</w:t>
      </w:r>
    </w:p>
    <w:p>
      <w:pPr>
        <w:pStyle w:val="ListParagraph"/>
        <w:numPr>
          <w:ilvl w:val="0"/>
          <w:numId w:val="2"/>
        </w:numPr>
        <w:spacing w:after="80"/>
      </w:pPr>
      <w:r>
        <w:rPr>
          <w:rFonts w:ascii="Calibri" w:cs="Calibri" w:eastAsia="Calibri" w:hAnsi="Calibri"/>
          <w:sz w:val="21"/>
          <w:szCs w:val="21"/>
        </w:rPr>
        <w:t xml:space="preserve">Le cache a été vidé après la dernière modification.</w:t>
      </w:r>
    </w:p>
    <w:p>
      <w:pPr>
        <w:pStyle w:val="Heading1"/>
        <w:pBdr>
          <w:bottom w:val="single" w:color="1F3864" w:sz="8" w:space="6"/>
        </w:pBdr>
        <w:spacing w:after="160" w:before="360"/>
      </w:pPr>
      <w:r>
        <w:rPr>
          <w:rFonts w:ascii="Calibri" w:cs="Calibri" w:eastAsia="Calibri" w:hAnsi="Calibri"/>
          <w:b/>
          <w:bCs/>
          <w:color w:val="1F3864"/>
          <w:sz w:val="30"/>
          <w:szCs w:val="30"/>
        </w:rPr>
        <w:t xml:space="preserve">Étape 7 — Recette fonctionnelle</w:t>
      </w:r>
    </w:p>
    <w:p>
      <w:pPr>
        <w:spacing w:after="12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Vérifier sur la plateforme de test que les données chargées sont exploitables et cohérentes.</w:t>
      </w:r>
    </w:p>
    <w:p>
      <w:pPr>
        <w:spacing w:after="120" w:line="276"/>
      </w:pPr>
      <w:r>
        <w:rPr>
          <w:rFonts w:ascii="Calibri" w:cs="Calibri" w:eastAsia="Calibri" w:hAnsi="Calibri"/>
          <w:b/>
          <w:bCs/>
          <w:sz w:val="21"/>
          <w:szCs w:val="21"/>
        </w:rPr>
        <w:t xml:space="preserve">Où l'exécuter : </w:t>
      </w:r>
      <w:r>
        <w:rPr>
          <w:rFonts w:ascii="Calibri" w:cs="Calibri" w:eastAsia="Calibri" w:hAnsi="Calibri"/>
          <w:sz w:val="21"/>
          <w:szCs w:val="21"/>
        </w:rPr>
        <w:t xml:space="preserve">Depuis un navigateur, sur https://kyc-test.of.africa.</w:t>
      </w:r>
    </w:p>
    <w:p>
      <w:pPr>
        <w:spacing w:after="60" w:before="140"/>
      </w:pPr>
      <w:r>
        <w:rPr>
          <w:rFonts w:ascii="Calibri" w:cs="Calibri" w:eastAsia="Calibri" w:hAnsi="Calibri"/>
          <w:b/>
          <w:bCs/>
          <w:color w:val="444444"/>
          <w:sz w:val="21"/>
          <w:szCs w:val="21"/>
        </w:rPr>
        <w:t xml:space="preserve">Contrôle avant de passer à la suite</w:t>
      </w:r>
    </w:p>
    <w:p>
      <w:pPr>
        <w:pStyle w:val="ListParagraph"/>
        <w:numPr>
          <w:ilvl w:val="0"/>
          <w:numId w:val="2"/>
        </w:numPr>
        <w:spacing w:after="80"/>
      </w:pPr>
      <w:r>
        <w:rPr>
          <w:rFonts w:ascii="Calibri" w:cs="Calibri" w:eastAsia="Calibri" w:hAnsi="Calibri"/>
          <w:sz w:val="21"/>
          <w:szCs w:val="21"/>
        </w:rPr>
        <w:t xml:space="preserve">Connexion réussie avec un compte de test, et affichage correct du profil (filiale, agence, code exploitant).</w:t>
      </w:r>
    </w:p>
    <w:p>
      <w:pPr>
        <w:pStyle w:val="ListParagraph"/>
        <w:numPr>
          <w:ilvl w:val="0"/>
          <w:numId w:val="2"/>
        </w:numPr>
        <w:spacing w:after="80"/>
      </w:pPr>
      <w:r>
        <w:rPr>
          <w:rFonts w:ascii="Calibri" w:cs="Calibri" w:eastAsia="Calibri" w:hAnsi="Calibri"/>
          <w:sz w:val="21"/>
          <w:szCs w:val="21"/>
        </w:rPr>
        <w:t xml:space="preserve">Menu latéral : les onglets correspondent aux accès réglés à l'étape 6, pour au moins un compte de chaque organe.</w:t>
      </w:r>
    </w:p>
    <w:p>
      <w:pPr>
        <w:pStyle w:val="ListParagraph"/>
        <w:numPr>
          <w:ilvl w:val="0"/>
          <w:numId w:val="2"/>
        </w:numPr>
        <w:spacing w:after="80"/>
      </w:pPr>
      <w:r>
        <w:rPr>
          <w:rFonts w:ascii="Calibri" w:cs="Calibri" w:eastAsia="Calibri" w:hAnsi="Calibri"/>
          <w:sz w:val="21"/>
          <w:szCs w:val="21"/>
        </w:rPr>
        <w:t xml:space="preserve">Module de scoring des clients : accessible depuis le menu et alimenté par les données importées.</w:t>
      </w:r>
    </w:p>
    <w:p>
      <w:pPr>
        <w:pStyle w:val="ListParagraph"/>
        <w:numPr>
          <w:ilvl w:val="0"/>
          <w:numId w:val="2"/>
        </w:numPr>
        <w:spacing w:after="80"/>
      </w:pPr>
      <w:r>
        <w:rPr>
          <w:rFonts w:ascii="Calibri" w:cs="Calibri" w:eastAsia="Calibri" w:hAnsi="Calibri"/>
          <w:sz w:val="21"/>
          <w:szCs w:val="21"/>
        </w:rPr>
        <w:t xml:space="preserve">Screening KYC ID : les onglets autorisés s'ouvrent, le chargement de lot et le rapprochement sont conformes aux droits accordés.</w:t>
      </w:r>
    </w:p>
    <w:p>
      <w:pPr>
        <w:pStyle w:val="ListParagraph"/>
        <w:numPr>
          <w:ilvl w:val="0"/>
          <w:numId w:val="2"/>
        </w:numPr>
        <w:spacing w:after="80"/>
      </w:pPr>
      <w:r>
        <w:rPr>
          <w:rFonts w:ascii="Calibri" w:cs="Calibri" w:eastAsia="Calibri" w:hAnsi="Calibri"/>
          <w:sz w:val="21"/>
          <w:szCs w:val="21"/>
        </w:rPr>
        <w:t xml:space="preserve">Tableau de bord : les taux de complétude et de qualité s'affichent, sans écran vide ni erreur 500.</w:t>
      </w:r>
    </w:p>
    <w:p>
      <w:pPr>
        <w:pStyle w:val="ListParagraph"/>
        <w:numPr>
          <w:ilvl w:val="0"/>
          <w:numId w:val="2"/>
        </w:numPr>
        <w:spacing w:after="80"/>
      </w:pPr>
      <w:r>
        <w:rPr>
          <w:rFonts w:ascii="Calibri" w:cs="Calibri" w:eastAsia="Calibri" w:hAnsi="Calibri"/>
          <w:sz w:val="21"/>
          <w:szCs w:val="21"/>
        </w:rPr>
        <w:t xml:space="preserve">Écrans clients personnes physiques et personnes morales : les volumes correspondent à ceux de la production.</w:t>
      </w:r>
    </w:p>
    <w:p>
      <w:pPr>
        <w:pStyle w:val="ListParagraph"/>
        <w:numPr>
          <w:ilvl w:val="0"/>
          <w:numId w:val="2"/>
        </w:numPr>
        <w:spacing w:after="80"/>
      </w:pPr>
      <w:r>
        <w:rPr>
          <w:rFonts w:ascii="Calibri" w:cs="Calibri" w:eastAsia="Calibri" w:hAnsi="Calibri"/>
          <w:sz w:val="21"/>
          <w:szCs w:val="21"/>
        </w:rPr>
        <w:t xml:space="preserve">Écran de notation : les notations existantes sont présentes et rattachées au bon agent.</w:t>
      </w:r>
    </w:p>
    <w:p>
      <w:pPr>
        <w:pStyle w:val="ListParagraph"/>
        <w:numPr>
          <w:ilvl w:val="0"/>
          <w:numId w:val="2"/>
        </w:numPr>
        <w:spacing w:after="80"/>
      </w:pPr>
      <w:r>
        <w:rPr>
          <w:rFonts w:ascii="Calibri" w:cs="Calibri" w:eastAsia="Calibri" w:hAnsi="Calibri"/>
          <w:sz w:val="21"/>
          <w:szCs w:val="21"/>
        </w:rPr>
        <w:t xml:space="preserve">Évolution par filiale : l'historique des taux remonte bien avant la date du jour.</w:t>
      </w:r>
    </w:p>
    <w:p>
      <w:pPr>
        <w:pStyle w:val="ListParagraph"/>
        <w:numPr>
          <w:ilvl w:val="0"/>
          <w:numId w:val="2"/>
        </w:numPr>
        <w:spacing w:after="80"/>
      </w:pPr>
      <w:r>
        <w:rPr>
          <w:rFonts w:ascii="Calibri" w:cs="Calibri" w:eastAsia="Calibri" w:hAnsi="Calibri"/>
          <w:sz w:val="21"/>
          <w:szCs w:val="21"/>
        </w:rPr>
        <w:t xml:space="preserve">Contrôle qualité : les règles s'exécutent et retournent des anomalies.</w:t>
      </w:r>
    </w:p>
    <w:p>
      <w:pPr>
        <w:spacing w:after="60" w:before="140"/>
      </w:pPr>
      <w:r>
        <w:rPr>
          <w:rFonts w:ascii="Calibri" w:cs="Calibri" w:eastAsia="Calibri" w:hAnsi="Calibri"/>
          <w:b/>
          <w:bCs/>
          <w:color w:val="444444"/>
          <w:sz w:val="21"/>
          <w:szCs w:val="21"/>
        </w:rPr>
        <w:t xml:space="preserve">En cas d'échec</w:t>
      </w:r>
    </w:p>
    <w:p>
      <w:pPr>
        <w:spacing w:after="120" w:line="276"/>
      </w:pPr>
      <w:r>
        <w:rPr>
          <w:rFonts w:ascii="Calibri" w:cs="Calibri" w:eastAsia="Calibri" w:hAnsi="Calibri"/>
          <w:sz w:val="21"/>
          <w:szCs w:val="21"/>
        </w:rPr>
        <w:t xml:space="preserve">Consigner l'écran concerné, le compte utilisé et le message obtenu. Si l'anomalie porte sur des données absentes, vérifier d'abord le rapport de l'étape 5 : une section ignorée ou des colonnes manquantes en sont la cause la plus probable.</w:t>
      </w:r>
    </w:p>
    <w:p>
      <w:pPr>
        <w:pStyle w:val="Heading1"/>
        <w:pBdr>
          <w:bottom w:val="single" w:color="1F3864" w:sz="8" w:space="6"/>
        </w:pBdr>
        <w:spacing w:after="160" w:before="360"/>
      </w:pPr>
      <w:r>
        <w:rPr>
          <w:rFonts w:ascii="Calibri" w:cs="Calibri" w:eastAsia="Calibri" w:hAnsi="Calibri"/>
          <w:b/>
          <w:bCs/>
          <w:color w:val="1F3864"/>
          <w:sz w:val="30"/>
          <w:szCs w:val="30"/>
        </w:rPr>
        <w:t xml:space="preserve">Retour arrière</w:t>
      </w:r>
    </w:p>
    <w:p>
      <w:pPr>
        <w:spacing w:after="120" w:line="276"/>
      </w:pPr>
      <w:r>
        <w:rPr>
          <w:rFonts w:ascii="Calibri" w:cs="Calibri" w:eastAsia="Calibri" w:hAnsi="Calibri"/>
          <w:sz w:val="21"/>
          <w:szCs w:val="21"/>
        </w:rPr>
        <w:t xml:space="preserve">La production n'est jamais modifiée par cette procédure : les étapes 1 à 3 sont en lecture seule de son point de vue. Le retour arrière ne concerne donc que l'environnement de test.</w:t>
      </w:r>
    </w:p>
    <w:p>
      <w:pPr>
        <w:pStyle w:val="ListParagraph"/>
        <w:numPr>
          <w:ilvl w:val="0"/>
          <w:numId w:val="2"/>
        </w:numPr>
        <w:spacing w:after="80"/>
      </w:pPr>
      <w:r>
        <w:rPr>
          <w:rFonts w:ascii="Calibri" w:cs="Calibri" w:eastAsia="Calibri" w:hAnsi="Calibri"/>
          <w:sz w:val="21"/>
          <w:szCs w:val="21"/>
        </w:rPr>
        <w:t xml:space="preserve">Import en échec : rien à faire, la transaction a déjà tout annulé.</w:t>
      </w:r>
    </w:p>
    <w:p>
      <w:pPr>
        <w:pStyle w:val="ListParagraph"/>
        <w:numPr>
          <w:ilvl w:val="0"/>
          <w:numId w:val="2"/>
        </w:numPr>
        <w:spacing w:after="80"/>
      </w:pPr>
      <w:r>
        <w:rPr>
          <w:rFonts w:ascii="Calibri" w:cs="Calibri" w:eastAsia="Calibri" w:hAnsi="Calibri"/>
          <w:sz w:val="21"/>
          <w:szCs w:val="21"/>
        </w:rPr>
        <w:t xml:space="preserve">Import réussi mais données jugées incorrectes : relancer l'import après correction de l'export, les tables concernées étant de toute façon remplacées.</w:t>
      </w:r>
    </w:p>
    <w:p>
      <w:pPr>
        <w:pStyle w:val="ListParagraph"/>
        <w:numPr>
          <w:ilvl w:val="0"/>
          <w:numId w:val="2"/>
        </w:numPr>
        <w:spacing w:after="80"/>
      </w:pPr>
      <w:r>
        <w:rPr>
          <w:rFonts w:ascii="Calibri" w:cs="Calibri" w:eastAsia="Calibri" w:hAnsi="Calibri"/>
          <w:sz w:val="21"/>
          <w:szCs w:val="21"/>
        </w:rPr>
        <w:t xml:space="preserve">Base de test à restaurer entièrement : repartir d'une copie du fichier db.sqlite3 mise de côté avant l'étape 4.</w:t>
      </w:r>
    </w:p>
    <w:p>
      <w:pPr>
        <w:pStyle w:val="ListParagraph"/>
        <w:numPr>
          <w:ilvl w:val="0"/>
          <w:numId w:val="2"/>
        </w:numPr>
        <w:spacing w:after="80"/>
      </w:pPr>
      <w:r>
        <w:rPr>
          <w:rFonts w:ascii="Calibri" w:cs="Calibri" w:eastAsia="Calibri" w:hAnsi="Calibri"/>
          <w:sz w:val="21"/>
          <w:szCs w:val="21"/>
        </w:rPr>
        <w:t xml:space="preserve">Production à restaurer, cas qui ne devrait pas se présenter : utiliser la sauvegarde de l'étape 1 par RESTORE DATABASE.</w:t>
      </w:r>
    </w:p>
    <w:p>
      <w:pPr>
        <w:pStyle w:val="Heading1"/>
        <w:pBdr>
          <w:bottom w:val="single" w:color="1F3864" w:sz="8" w:space="6"/>
        </w:pBdr>
        <w:spacing w:after="160" w:before="360"/>
      </w:pPr>
      <w:r>
        <w:rPr>
          <w:rFonts w:ascii="Calibri" w:cs="Calibri" w:eastAsia="Calibri" w:hAnsi="Calibri"/>
          <w:b/>
          <w:bCs/>
          <w:color w:val="1F3864"/>
          <w:sz w:val="30"/>
          <w:szCs w:val="30"/>
        </w:rPr>
        <w:t xml:space="preserve">Points de vigilance</w:t>
      </w:r>
    </w:p>
    <w:tbl>
      <w:tblPr>
        <w:tblW w:type="dxa" w:w="9026"/>
        <w:tblBorders>
          <w:top w:val="single" w:color="9C2B2B" w:sz="4"/>
          <w:left w:val="single" w:color="9C2B2B" w:sz="24"/>
          <w:bottom w:val="single" w:color="9C2B2B" w:sz="4"/>
          <w:right w:val="single" w:color="9C2B2B"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9C2B2B"/>
                <w:sz w:val="21"/>
                <w:szCs w:val="21"/>
              </w:rPr>
              <w:t xml:space="preserve">Alias de base de données</w:t>
            </w:r>
          </w:p>
          <w:p>
            <w:pPr>
              <w:spacing w:after="0"/>
            </w:pPr>
            <w:r>
              <w:rPr>
                <w:rFonts w:ascii="Calibri" w:cs="Calibri" w:eastAsia="Calibri" w:hAnsi="Calibri"/>
                <w:sz w:val="20"/>
                <w:szCs w:val="20"/>
              </w:rPr>
              <w:t xml:space="preserve">export_data_all.py et import_data_all.py travaillent sur l'alias default s'il n'est pas précisé. Sur une machine où default désigne la base SQLite locale, un export sans --database prod produit un export de la base de test, sans aucun message d'erreur.</w:t>
            </w:r>
          </w:p>
        </w:tc>
      </w:tr>
    </w:tbl>
    <w:p>
      <w:pPr>
        <w:spacing w:after="120" w:line="276"/>
      </w:pPr>
      <w:r>
        <w:rPr>
          <w:rFonts w:ascii="Calibri" w:cs="Calibri" w:eastAsia="Calibri" w:hAnsi="Calibri"/>
          <w:sz w:val="21"/>
          <w:szCs w:val="21"/>
        </w:rPr>
        <w:t xml:space="preserve"/>
      </w:r>
    </w:p>
    <w:tbl>
      <w:tblPr>
        <w:tblW w:type="dxa" w:w="9026"/>
        <w:tblBorders>
          <w:top w:val="single" w:color="9C2B2B" w:sz="4"/>
          <w:left w:val="single" w:color="9C2B2B" w:sz="24"/>
          <w:bottom w:val="single" w:color="9C2B2B" w:sz="4"/>
          <w:right w:val="single" w:color="9C2B2B"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9C2B2B"/>
                <w:sz w:val="21"/>
                <w:szCs w:val="21"/>
              </w:rPr>
              <w:t xml:space="preserve">Écart de version entre les deux installations</w:t>
            </w:r>
          </w:p>
          <w:p>
            <w:pPr>
              <w:spacing w:after="0"/>
            </w:pPr>
            <w:r>
              <w:rPr>
                <w:rFonts w:ascii="Calibri" w:cs="Calibri" w:eastAsia="Calibri" w:hAnsi="Calibri"/>
                <w:sz w:val="20"/>
                <w:szCs w:val="20"/>
              </w:rPr>
              <w:t xml:space="preserve">Un modèle présent d'un côté et pas de l'autre, ou une contrainte d'unicité ajoutée d'un seul côté, fait échouer l'import. Les scripts signalent précisément le modèle, la colonne et le nombre de lignes concernées, mais la correction relève de l'alignement du code, pas du script d'import.</w:t>
            </w:r>
          </w:p>
        </w:tc>
      </w:tr>
    </w:tbl>
    <w:p>
      <w:pPr>
        <w:spacing w:after="120" w:line="276"/>
      </w:pPr>
      <w:r>
        <w:rPr>
          <w:rFonts w:ascii="Calibri" w:cs="Calibri" w:eastAsia="Calibri" w:hAnsi="Calibri"/>
          <w:sz w:val="21"/>
          <w:szCs w:val="21"/>
        </w:rPr>
        <w:t xml:space="preserve"/>
      </w:r>
    </w:p>
    <w:tbl>
      <w:tblPr>
        <w:tblW w:type="dxa" w:w="9026"/>
        <w:tblBorders>
          <w:top w:val="single" w:color="9C2B2B" w:sz="4"/>
          <w:left w:val="single" w:color="9C2B2B" w:sz="24"/>
          <w:bottom w:val="single" w:color="9C2B2B" w:sz="4"/>
          <w:right w:val="single" w:color="9C2B2B" w:sz="4"/>
          <w:insideH w:val="none"/>
          <w:insideV w:val="none"/>
        </w:tblBorders>
      </w:tblPr>
      <w:tblGrid>
        <w:gridCol w:w="9026"/>
      </w:tblGrid>
      <w:tr>
        <w:tc>
          <w:tcPr>
            <w:tcW w:type="dxa" w:w="9026"/>
            <w:shd w:fill="FCFCFC" w:val="clear"/>
            <w:tcMar>
              <w:top w:type="dxa" w:w="80"/>
              <w:left w:type="dxa" w:w="120"/>
              <w:bottom w:type="dxa" w:w="80"/>
              <w:right w:type="dxa" w:w="120"/>
            </w:tcMar>
          </w:tcPr>
          <w:p>
            <w:pPr>
              <w:spacing w:after="60"/>
            </w:pPr>
            <w:r>
              <w:rPr>
                <w:rFonts w:ascii="Calibri" w:cs="Calibri" w:eastAsia="Calibri" w:hAnsi="Calibri"/>
                <w:b/>
                <w:bCs/>
                <w:color w:val="9C2B2B"/>
                <w:sz w:val="21"/>
                <w:szCs w:val="21"/>
              </w:rPr>
              <w:t xml:space="preserve">Mots de passe de production</w:t>
            </w:r>
          </w:p>
          <w:p>
            <w:pPr>
              <w:spacing w:after="0"/>
            </w:pPr>
            <w:r>
              <w:rPr>
                <w:rFonts w:ascii="Calibri" w:cs="Calibri" w:eastAsia="Calibri" w:hAnsi="Calibri"/>
                <w:sz w:val="20"/>
                <w:szCs w:val="20"/>
              </w:rPr>
              <w:t xml:space="preserve">La section users importe les empreintes de mots de passe de la production : les identifiants de production ouvrent alors une session sur l'environnement de test. Utiliser --skip-passwords si ce comportement n'est pas souhaité.</w:t>
            </w:r>
          </w:p>
        </w:tc>
      </w:tr>
    </w:tbl>
    <w:p>
      <w:r>
        <w:br w:type="page"/>
      </w:r>
    </w:p>
    <w:p>
      <w:pPr>
        <w:pStyle w:val="Heading1"/>
        <w:pBdr>
          <w:bottom w:val="single" w:color="1F3864" w:sz="8" w:space="6"/>
        </w:pBdr>
        <w:spacing w:after="160" w:before="360"/>
      </w:pPr>
      <w:r>
        <w:rPr>
          <w:rFonts w:ascii="Calibri" w:cs="Calibri" w:eastAsia="Calibri" w:hAnsi="Calibri"/>
          <w:b/>
          <w:bCs/>
          <w:color w:val="1F3864"/>
          <w:sz w:val="30"/>
          <w:szCs w:val="30"/>
        </w:rPr>
        <w:t xml:space="preserve">Fiche de validation</w:t>
      </w:r>
    </w:p>
    <w:p>
      <w:pPr>
        <w:spacing w:after="120" w:line="276"/>
      </w:pPr>
      <w:r>
        <w:rPr>
          <w:rFonts w:ascii="Calibri" w:cs="Calibri" w:eastAsia="Calibri" w:hAnsi="Calibri"/>
          <w:sz w:val="21"/>
          <w:szCs w:val="21"/>
        </w:rPr>
        <w:t xml:space="preserve">À compléter et à conserver à l'issue de chaque mise en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500"/>
        <w:gridCol w:w="2426"/>
      </w:tblGrid>
      <w:tr>
        <w:trPr>
          <w:tblHeader/>
        </w:trPr>
        <w:tc>
          <w:tcPr>
            <w:tcW w:type="dxa" w:w="7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w:t>
            </w:r>
          </w:p>
        </w:tc>
        <w:tc>
          <w:tcPr>
            <w:tcW w:type="dxa" w:w="44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Étape</w:t>
            </w:r>
          </w:p>
        </w:tc>
        <w:tc>
          <w:tcPr>
            <w:tcW w:type="dxa" w:w="15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Heure</w:t>
            </w:r>
          </w:p>
        </w:tc>
        <w:tc>
          <w:tcPr>
            <w:tcW w:type="dxa" w:w="2426"/>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Visa / observation</w:t>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1</w:t>
            </w:r>
          </w:p>
        </w:tc>
        <w:tc>
          <w:tcPr>
            <w:tcW w:type="dxa" w:w="4400"/>
            <w:tcMar>
              <w:top w:type="dxa" w:w="80"/>
              <w:left w:type="dxa" w:w="120"/>
              <w:bottom w:type="dxa" w:w="80"/>
              <w:right w:type="dxa" w:w="120"/>
            </w:tcMar>
          </w:tcPr>
          <w:p>
            <w:r>
              <w:rPr>
                <w:rFonts w:ascii="Calibri" w:cs="Calibri" w:eastAsia="Calibri" w:hAnsi="Calibri"/>
                <w:b w:val="false"/>
                <w:bCs w:val="false"/>
                <w:sz w:val="19"/>
                <w:szCs w:val="19"/>
              </w:rPr>
              <w:t xml:space="preserve">Sauvegarde MSSQL vérifiée</w:t>
            </w:r>
          </w:p>
        </w:tc>
        <w:tc>
          <w:tcPr>
            <w:tcW w:type="dxa" w:w="1500"/>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2</w:t>
            </w:r>
          </w:p>
        </w:tc>
        <w:tc>
          <w:tcPr>
            <w:tcW w:type="dxa" w:w="44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Export de production terminé</w:t>
            </w:r>
          </w:p>
        </w:tc>
        <w:tc>
          <w:tcPr>
            <w:tcW w:type="dxa" w:w="15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3</w:t>
            </w:r>
          </w:p>
        </w:tc>
        <w:tc>
          <w:tcPr>
            <w:tcW w:type="dxa" w:w="4400"/>
            <w:tcMar>
              <w:top w:type="dxa" w:w="80"/>
              <w:left w:type="dxa" w:w="120"/>
              <w:bottom w:type="dxa" w:w="80"/>
              <w:right w:type="dxa" w:w="120"/>
            </w:tcMar>
          </w:tcPr>
          <w:p>
            <w:r>
              <w:rPr>
                <w:rFonts w:ascii="Calibri" w:cs="Calibri" w:eastAsia="Calibri" w:hAnsi="Calibri"/>
                <w:b w:val="false"/>
                <w:bCs w:val="false"/>
                <w:sz w:val="19"/>
                <w:szCs w:val="19"/>
              </w:rPr>
              <w:t xml:space="preserve">Copie sur la machine de test</w:t>
            </w:r>
          </w:p>
        </w:tc>
        <w:tc>
          <w:tcPr>
            <w:tcW w:type="dxa" w:w="1500"/>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4</w:t>
            </w:r>
          </w:p>
        </w:tc>
        <w:tc>
          <w:tcPr>
            <w:tcW w:type="dxa" w:w="44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Migrations appliquées</w:t>
            </w:r>
          </w:p>
        </w:tc>
        <w:tc>
          <w:tcPr>
            <w:tcW w:type="dxa" w:w="15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5</w:t>
            </w:r>
          </w:p>
        </w:tc>
        <w:tc>
          <w:tcPr>
            <w:tcW w:type="dxa" w:w="4400"/>
            <w:tcMar>
              <w:top w:type="dxa" w:w="80"/>
              <w:left w:type="dxa" w:w="120"/>
              <w:bottom w:type="dxa" w:w="80"/>
              <w:right w:type="dxa" w:w="120"/>
            </w:tcMar>
          </w:tcPr>
          <w:p>
            <w:r>
              <w:rPr>
                <w:rFonts w:ascii="Calibri" w:cs="Calibri" w:eastAsia="Calibri" w:hAnsi="Calibri"/>
                <w:b w:val="false"/>
                <w:bCs w:val="false"/>
                <w:sz w:val="19"/>
                <w:szCs w:val="19"/>
              </w:rPr>
              <w:t xml:space="preserve">Import terminé sans erreur</w:t>
            </w:r>
          </w:p>
        </w:tc>
        <w:tc>
          <w:tcPr>
            <w:tcW w:type="dxa" w:w="1500"/>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shd w:fill="F2F4F7" w:val="clear"/>
            <w:tcMar>
              <w:top w:type="dxa" w:w="80"/>
              <w:left w:type="dxa" w:w="120"/>
              <w:bottom w:type="dxa" w:w="80"/>
              <w:right w:type="dxa" w:w="120"/>
            </w:tcMar>
          </w:tcPr>
          <w:p>
            <w:r>
              <w:rPr>
                <w:rFonts w:ascii="Calibri" w:cs="Calibri" w:eastAsia="Calibri" w:hAnsi="Calibri"/>
                <w:b/>
                <w:bCs/>
                <w:sz w:val="19"/>
                <w:szCs w:val="19"/>
              </w:rPr>
              <w:t xml:space="preserve">6</w:t>
            </w:r>
          </w:p>
        </w:tc>
        <w:tc>
          <w:tcPr>
            <w:tcW w:type="dxa" w:w="44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Configurations admin vérifiées</w:t>
            </w:r>
          </w:p>
        </w:tc>
        <w:tc>
          <w:tcPr>
            <w:tcW w:type="dxa" w:w="1500"/>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700"/>
            <w:tcMar>
              <w:top w:type="dxa" w:w="80"/>
              <w:left w:type="dxa" w:w="120"/>
              <w:bottom w:type="dxa" w:w="80"/>
              <w:right w:type="dxa" w:w="120"/>
            </w:tcMar>
          </w:tcPr>
          <w:p>
            <w:r>
              <w:rPr>
                <w:rFonts w:ascii="Calibri" w:cs="Calibri" w:eastAsia="Calibri" w:hAnsi="Calibri"/>
                <w:b/>
                <w:bCs/>
                <w:sz w:val="19"/>
                <w:szCs w:val="19"/>
              </w:rPr>
              <w:t xml:space="preserve">7</w:t>
            </w:r>
          </w:p>
        </w:tc>
        <w:tc>
          <w:tcPr>
            <w:tcW w:type="dxa" w:w="4400"/>
            <w:tcMar>
              <w:top w:type="dxa" w:w="80"/>
              <w:left w:type="dxa" w:w="120"/>
              <w:bottom w:type="dxa" w:w="80"/>
              <w:right w:type="dxa" w:w="120"/>
            </w:tcMar>
          </w:tcPr>
          <w:p>
            <w:r>
              <w:rPr>
                <w:rFonts w:ascii="Calibri" w:cs="Calibri" w:eastAsia="Calibri" w:hAnsi="Calibri"/>
                <w:b w:val="false"/>
                <w:bCs w:val="false"/>
                <w:sz w:val="19"/>
                <w:szCs w:val="19"/>
              </w:rPr>
              <w:t xml:space="preserve">Recette fonctionnelle validée</w:t>
            </w:r>
          </w:p>
        </w:tc>
        <w:tc>
          <w:tcPr>
            <w:tcW w:type="dxa" w:w="1500"/>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426"/>
            <w:tcMar>
              <w:top w:type="dxa" w:w="80"/>
              <w:left w:type="dxa" w:w="120"/>
              <w:bottom w:type="dxa" w:w="80"/>
              <w:right w:type="dxa" w:w="120"/>
            </w:tcMar>
          </w:tcPr>
          <w:p>
            <w:r>
              <w:rPr>
                <w:rFonts w:ascii="Calibri" w:cs="Calibri" w:eastAsia="Calibri" w:hAnsi="Calibri"/>
                <w:b w:val="false"/>
                <w:bCs w:val="false"/>
                <w:sz w:val="19"/>
                <w:szCs w:val="19"/>
              </w:rPr>
              <w:t xml:space="preserve"/>
            </w:r>
          </w:p>
        </w:tc>
      </w:tr>
    </w:tbl>
    <w:p>
      <w:pPr>
        <w:spacing w:after="120" w:line="276"/>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Rubrique</w:t>
            </w:r>
          </w:p>
        </w:tc>
        <w:tc>
          <w:tcPr>
            <w:tcW w:type="dxa" w:w="6826"/>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Valeur</w:t>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Date de l'intervention</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Intervenant</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2200"/>
            <w:tcMar>
              <w:top w:type="dxa" w:w="80"/>
              <w:left w:type="dxa" w:w="120"/>
              <w:bottom w:type="dxa" w:w="80"/>
              <w:right w:type="dxa" w:w="120"/>
            </w:tcMar>
          </w:tcPr>
          <w:p>
            <w:r>
              <w:rPr>
                <w:rFonts w:ascii="Calibri" w:cs="Calibri" w:eastAsia="Calibri" w:hAnsi="Calibri"/>
                <w:b/>
                <w:bCs/>
                <w:sz w:val="19"/>
                <w:szCs w:val="19"/>
              </w:rPr>
              <w:t xml:space="preserve">Fichier de sauvegarde</w:t>
            </w:r>
          </w:p>
        </w:tc>
        <w:tc>
          <w:tcPr>
            <w:tcW w:type="dxa" w:w="6826"/>
            <w:tcMar>
              <w:top w:type="dxa" w:w="80"/>
              <w:left w:type="dxa" w:w="120"/>
              <w:bottom w:type="dxa" w:w="80"/>
              <w:right w:type="dxa" w:w="120"/>
            </w:tcMar>
          </w:tcPr>
          <w:p>
            <w:r>
              <w:rPr>
                <w:rFonts w:ascii="Calibri" w:cs="Calibri" w:eastAsia="Calibri" w:hAnsi="Calibri"/>
                <w:b w:val="false"/>
                <w:bCs w:val="false"/>
                <w:sz w:val="19"/>
                <w:szCs w:val="19"/>
              </w:rPr>
              <w:t xml:space="preserve"/>
            </w:r>
          </w:p>
        </w:tc>
      </w:tr>
      <w:tr>
        <w:tc>
          <w:tcPr>
            <w:tcW w:type="dxa" w:w="2200"/>
            <w:shd w:fill="F2F4F7" w:val="clear"/>
            <w:tcMar>
              <w:top w:type="dxa" w:w="80"/>
              <w:left w:type="dxa" w:w="120"/>
              <w:bottom w:type="dxa" w:w="80"/>
              <w:right w:type="dxa" w:w="120"/>
            </w:tcMar>
          </w:tcPr>
          <w:p>
            <w:r>
              <w:rPr>
                <w:rFonts w:ascii="Calibri" w:cs="Calibri" w:eastAsia="Calibri" w:hAnsi="Calibri"/>
                <w:b/>
                <w:bCs/>
                <w:sz w:val="19"/>
                <w:szCs w:val="19"/>
              </w:rPr>
              <w:t xml:space="preserve">Anomalies constatées</w:t>
            </w:r>
          </w:p>
        </w:tc>
        <w:tc>
          <w:tcPr>
            <w:tcW w:type="dxa" w:w="6826"/>
            <w:shd w:fill="F2F4F7" w:val="clear"/>
            <w:tcMar>
              <w:top w:type="dxa" w:w="80"/>
              <w:left w:type="dxa" w:w="120"/>
              <w:bottom w:type="dxa" w:w="80"/>
              <w:right w:type="dxa" w:w="120"/>
            </w:tcMar>
          </w:tcPr>
          <w:p>
            <w:r>
              <w:rPr>
                <w:rFonts w:ascii="Calibri" w:cs="Calibri" w:eastAsia="Calibri" w:hAnsi="Calibri"/>
                <w:b w:val="false"/>
                <w:bCs w:val="false"/>
                <w:sz w:val="19"/>
                <w:szCs w:val="19"/>
              </w:rPr>
              <w:t xml:space="preserve"/>
            </w:r>
          </w:p>
        </w:tc>
      </w:tr>
    </w:tbl>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spacing w:before="60"/>
    </w:pPr>
    <w:r>
      <w:rPr>
        <w:rFonts w:ascii="Calibri" w:cs="Calibri" w:eastAsia="Calibri" w:hAnsi="Calibri"/>
        <w:color w:val="777777"/>
        <w:sz w:val="16"/>
        <w:szCs w:val="16"/>
      </w:rPr>
      <w:t xml:space="preserve">Mise en production — Plateforme Fiabilisation KYC</w:t>
    </w:r>
    <w:r>
      <w:rPr>
        <w:rFonts w:ascii="Calibri" w:cs="Calibri" w:eastAsia="Calibri" w:hAnsi="Calibri"/>
        <w:sz w:val="16"/>
        <w:szCs w:val="16"/>
      </w:rPr>
      <w:t xml:space="preserve">	</w:t>
    </w:r>
    <w:r>
      <w:rPr>
        <w:rFonts w:ascii="Calibri" w:cs="Calibri" w:eastAsia="Calibri" w:hAnsi="Calibri"/>
        <w:color w:val="777777"/>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drawing>
        <wp:inline distT="0" distB="0" distL="0" distR="0">
          <wp:extent cx="14287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524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d76da5f01c1dc4fdf2706dd73d51257b78408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de mise en production</dc:title>
  <dc:creator>Plateforme Fiabilisation KYC</dc:creator>
  <dc:description>Bascule des données de production vers l'environnement de test</dc:description>
  <cp:lastModifiedBy>Un-named</cp:lastModifiedBy>
  <cp:revision>1</cp:revision>
  <dcterms:created xsi:type="dcterms:W3CDTF">2026-08-05T19:28:19.596Z</dcterms:created>
  <dcterms:modified xsi:type="dcterms:W3CDTF">2026-08-05T19:28:19.597Z</dcterms:modified>
</cp:coreProperties>
</file>

<file path=docProps/custom.xml><?xml version="1.0" encoding="utf-8"?>
<Properties xmlns="http://schemas.openxmlformats.org/officeDocument/2006/custom-properties" xmlns:vt="http://schemas.openxmlformats.org/officeDocument/2006/docPropsVTypes"/>
</file>