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32"/>
        </w:rPr>
        <w:t>Отзыв о прохождении</w:t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32"/>
        </w:rPr>
        <w:t>учебной практики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4"/>
              </w:rPr>
              <w:t>Студент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Байханов Владислав Камолович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Дата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4"/>
              </w:rPr>
              <w:t>12.05.2026</w:t>
            </w:r>
          </w:p>
        </w:tc>
      </w:tr>
    </w:tbl>
    <w:p>
      <w:pPr>
        <w:spacing w:after="40"/>
      </w:pPr>
    </w:p>
    <w:p>
      <w:pPr>
        <w:spacing w:line="276" w:lineRule="auto"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 период прохождения учебной практики студент Байханов Владислав Камолович выполнял работу по теме: </w:t>
      </w:r>
      <w:r>
        <w:rPr>
          <w:rFonts w:ascii="Times New Roman" w:hAnsi="Times New Roman" w:cs="Times New Roman" w:eastAsia="Times New Roman"/>
          <w:b/>
          <w:i w:val="0"/>
          <w:sz w:val="28"/>
        </w:rPr>
        <w:t>«Разработка системы автоматического детектирования нефтяных разливов в акваториях арктических портов по данным спутниковых радиолокационных систем»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Перед студентом была поставлена задача разработать и описать программно-аналитическое решение для автоматического обнаружения нефтяных разливов в акваториях арктических портов по данным радиолокационной спутниковой съёмки Sentinel-1. Особое внимание в ходе практики уделялось предобработке радиолокационных данных, формированию трёхклассового аннотированного датасета, адаптации архитектуры глубокого обучения DeepLabV3+ под одноканальные SAR-данные и верификации результатов по независимым источникам (метеоданные реанализа ERA5, AIS-трафик судов).</w:t>
      </w:r>
    </w:p>
    <w:p>
      <w:pPr>
        <w:spacing w:before="0" w:after="8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прохождения практики Байханов Владислав Камолович качественно и своевременно выполнил следующие задачи:</w:t>
      </w:r>
    </w:p>
    <w:p>
      <w:pPr>
        <w:pStyle w:val="ListBullet"/>
        <w:spacing w:after="60" w:line="276" w:lineRule="auto"/>
        <w:ind w:left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Изучил прикладной контекст мониторинга нефтяных разливов в акваториях арктических портов (Кольский залив, Варандей, Сабетта, Печенга);</w:t>
      </w:r>
    </w:p>
    <w:p>
      <w:pPr>
        <w:pStyle w:val="ListBullet"/>
        <w:spacing w:after="60" w:line="276" w:lineRule="auto"/>
        <w:ind w:left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Рассмотрел физические основы радиолокационного зондирования (эффект Марангони) и проблему ложных целей (look-alikes) — начальных форм льда, зон штиля и биогенных плёнок;</w:t>
      </w:r>
    </w:p>
    <w:p>
      <w:pPr>
        <w:pStyle w:val="ListBullet"/>
        <w:spacing w:after="60" w:line="276" w:lineRule="auto"/>
        <w:ind w:left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Реализовал восьмишаговый конвейер предобработки снимков Sentinel-1 в среде ESA SNAP: применение точных орбит, удаление теплового шума, калибровка σ⁰, фильтрация спекла (Lee 7×7), геометрическая коррекция;</w:t>
      </w:r>
    </w:p>
    <w:p>
      <w:pPr>
        <w:pStyle w:val="ListBullet"/>
        <w:spacing w:after="60" w:line="276" w:lineRule="auto"/>
        <w:ind w:left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Сформировал трёхклассовый аннотированный датасет «вода / нефть / лёд + суша» (1125 сцен, 4128 тайлов 256×256), впервые выделив лёд в отдельный класс;</w:t>
      </w:r>
    </w:p>
    <w:p>
      <w:pPr>
        <w:pStyle w:val="ListBullet"/>
        <w:spacing w:after="60" w:line="276" w:lineRule="auto"/>
        <w:ind w:left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Адаптировал архитектуру DeepLabV3+ (энкодер ResNet-50, блоки внимания scSE) под одноканальные радиолокационные данные;</w:t>
      </w:r>
    </w:p>
    <w:p>
      <w:pPr>
        <w:pStyle w:val="ListBullet"/>
        <w:spacing w:after="60" w:line="276" w:lineRule="auto"/>
        <w:ind w:left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Обучил нейросетевую модель с комбинированной функцией потерь Dice-BCE и провёл количественную оценку качества (mIoU = 0,82; F1 = 0,89; точность 95,8 %);</w:t>
      </w:r>
    </w:p>
    <w:p>
      <w:pPr>
        <w:pStyle w:val="ListBullet"/>
        <w:spacing w:after="60" w:line="276" w:lineRule="auto"/>
        <w:ind w:left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Выполнил проверку переноса обученной модели на новые арктические акватории (Варандей, Сабетта, Печенга) и количественно оценил деградацию качества;</w:t>
      </w:r>
    </w:p>
    <w:p>
      <w:pPr>
        <w:pStyle w:val="ListBullet"/>
        <w:spacing w:after="60" w:line="276" w:lineRule="auto"/>
        <w:ind w:left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Подготовил иллюстративные материалы, таблицы и аналитическое описание полученных результатов; обозначил ограничения метода и условия его применимости.</w:t>
      </w:r>
    </w:p>
    <w:p>
      <w:pPr>
        <w:spacing w:before="8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процессе выполнения практики студент проявил самостоятельность, аккуратность и заинтересованность в решении поставленных задач. Он продемонстрировал уверенные навыки программирования на языке Python, владение методами компьютерного зрения и глубокого обучения, а также понимание принципов обработки данных дистанционного зондирования Земли. Работа выполнена последовательно, с соблюдением логики научно-технического исследования: от постановки задачи и предобработки данных до обучения модели, анализа результатов и формулирования выводов.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 результате прохождения практики была разработана программно-аналитическая система детектирования нефтяных разливов, объединяющая конвейер предобработки SAR-данных, нейросетевую сегментацию и трёхуровневую верификацию результатов. Полученные результаты показывают, что студент способен применять современные методы машинного обучения и анализа данных дистанционного зондирования для решения прикладных задач экологического мониторинга арктических акваторий.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Отчёт по практике оформлен полно, структура работы выдержана, цель и задачи раскрыты. Представленные материалы подтверждают, что студент успешно справился с поставленной задачей и приобрёл практические навыки разработки, обучения и верификации интеллектуальных систем обработки спутниковых данных.</w:t>
      </w:r>
    </w:p>
    <w:p>
      <w:pPr>
        <w:spacing w:line="276" w:lineRule="auto" w:before="8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Считаю, что Байханов Владислав Камолович за прохождение учебной практики заслуживает оценку </w:t>
      </w:r>
      <w:r>
        <w:rPr>
          <w:rFonts w:ascii="Times New Roman" w:hAnsi="Times New Roman" w:cs="Times New Roman" w:eastAsia="Times New Roman"/>
          <w:b/>
          <w:i w:val="0"/>
          <w:sz w:val="28"/>
        </w:rPr>
        <w:t>«зачтено»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(в системе ECTS — </w:t>
      </w:r>
      <w:r>
        <w:rPr>
          <w:rFonts w:ascii="Times New Roman" w:hAnsi="Times New Roman" w:cs="Times New Roman" w:eastAsia="Times New Roman"/>
          <w:b/>
          <w:i w:val="0"/>
          <w:sz w:val="28"/>
        </w:rPr>
        <w:t>«A»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).</w:t>
      </w:r>
    </w:p>
    <w:p>
      <w:pPr>
        <w:spacing w:after="200"/>
      </w:pPr>
    </w:p>
    <w:p>
      <w:pPr>
        <w:spacing w:line="276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Руководитель практики          /                          /          к.т.н. Митько Арсений Валерьевич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