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~8,5–9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2 — Актуальность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Однако у радара принципиальная проблема: лёд, биоплёнки и штиль дают тёмные пятна, визуально неотличимые от нефти. В сентябре 2024 года разлив мазута при бункеровке танкера в Кольском заливе — на снимке справа — именно такая задача. У классических методов до семидесяти процентов ложных срабатываний. Решение: нужна трёхклассовая модель.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3 — Цель и задачи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Цель работы — автоматизация процесса детектирования нефтяных разливов по данным Sentinel-1 за счёт разработки нейросетевой трёхклассовой модели семантической сегментации, адаптированной к условиям активного ледообразования и обеспечивающей F1-score для класса «нефть» не ниже ноль целых восьмидесяти пяти. Для достижения цели поставлены четыре задачи: выявить ограничения аналогов и обосновать архитектуру; разработать методику датасета и обучить модель; реализовать программный прототип; провести экспериментальную оценку.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4 — Научная новизна</w:t>
      </w:r>
    </w:p>
    <w:p>
      <w:pPr>
        <w:spacing w:before="240" w:after="40"/>
      </w:pPr>
      <w:r>
        <w:rPr>
          <w:b/>
          <w:color w:val="1E40AF"/>
          <w:sz w:val="24"/>
        </w:rPr>
        <w:t>СЛАЙД 4. НАУЧНАЯ НОВИЗНА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Научная новизна — в трёх элементах. Первый и главный: впервые для арктических акваторий предложена трёхклассовая схема сегментации «нефть — вода — лёд плюс суша» вместо бинарной «нефть — фон», применяемой во всех известных работах. Вынося начальные формы льда в отдельный класс, мы напрямую устраняем главный источник ложных тревог.</w:t>
      </w:r>
    </w:p>
    <w:p>
      <w:pPr>
        <w:spacing w:after="80"/>
        <w:ind w:firstLine="567"/>
        <w:jc w:val="both"/>
      </w:pPr>
      <w:r>
        <w:t>Второй: методика формирования арктического датасета — полигональная разметка снимков Кольского залива в QGIS с верификацией по реанализу ERA5 и судовым данным AIS. Третий: архитектура DeepLabV3+ с энкодером ResNet-50 и блоками внимания scSE адаптирована к одноканальным SAR-данным, а дисбаланс классов устранён взвешенной функцией потерь Dice-BCE.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5 — Существующие методы</w:t>
      </w:r>
    </w:p>
    <w:p>
      <w:pPr>
        <w:spacing w:before="240" w:after="40"/>
      </w:pPr>
      <w:r>
        <w:rPr>
          <w:b/>
          <w:color w:val="1E40AF"/>
          <w:sz w:val="24"/>
        </w:rPr>
        <w:t>СЛАЙД 5.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подходы. Методы Оцу и U-Net Krestenitis, GLCM с CNN и адаптивный порог — все они бинарные и не выделяют лёд в отдельный класс. Именно это порождает до семидесяти процентов ложных тревог в арктических условиях. Наша работа, в нижней строке, — единственная, где сочетаются трёхклассовость, учёт ледовых ложных целей и работа с арктическими данными.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6 — Архитектура</w:t>
      </w:r>
    </w:p>
    <w:p>
      <w:pPr>
        <w:spacing w:before="240" w:after="40"/>
      </w:pPr>
      <w:r>
        <w:rPr>
          <w:b/>
          <w:color w:val="1E40AF"/>
          <w:sz w:val="24"/>
        </w:rPr>
        <w:t>СЛАЙД 6. АРХИТЕКТУРА РЕШЕНИЯ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Программное решение реализовано как трёхэтапный модульный конвейер. Первый этап — предобработка в ESA SNAP: шесть шагов от коррекции орбиты до перевода в децибелы. Второй — нейросетевая сегментация на три класса. Третий — верификация аномалий по морфологии пятна, метеоданным ERA5 и навигационным данным AIS.</w:t>
      </w:r>
    </w:p>
    <w:p>
      <w:pPr>
        <w:spacing w:after="80"/>
        <w:ind w:firstLine="567"/>
        <w:jc w:val="both"/>
      </w:pPr>
      <w:r>
        <w:t>Полное время обработки одной сцены Sentinel-1 — шестьдесят пять секунд, что обеспечивает применимость в оперативном режиме. Реализация на Python и PyTorch 2.1, вычисления на NVIDIA RTX 3090, исходный код опубликован в открытом доступе на GitHub.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7 — Датасет</w:t>
      </w:r>
    </w:p>
    <w:p>
      <w:pPr>
        <w:spacing w:before="240" w:after="40"/>
      </w:pPr>
      <w:r>
        <w:rPr>
          <w:b/>
          <w:color w:val="1E40AF"/>
          <w:sz w:val="24"/>
        </w:rPr>
        <w:t>СЛАЙД 7. ДАТАСЕТ И ОБУЧЕНИЕ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Krestenitis, переразмеченных в трёхклассовую схему, и тринадцать собственных сцен Кольского залива, размеченных вручную. После нарезки с перекрытием пятьдесят процентов — четыре тысячи сто двадцать восемь тайлов, деление по сценам семьдесят, двадцать, десять.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лишь 2,4 процента. Решение — взвешенная функция потерь Dice-BCE, вес класса «нефть» повышен до 9,8. Обучение методом AdamW: сто эпох, лучшее mIoU ноль целых восемьдесят четыре достигнуто на семьдесят восьмой эпохе без переобучения.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8 — Результаты</w:t>
      </w:r>
    </w:p>
    <w:p>
      <w:pPr>
        <w:spacing w:before="240" w:after="40"/>
      </w:pPr>
      <w:r>
        <w:rPr>
          <w:b/>
          <w:color w:val="1E40AF"/>
          <w:sz w:val="24"/>
        </w:rPr>
        <w:t>СЛАЙД 8. РЕЗУЛЬТАТЫ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На отложенной тестовой выборке Кольского залива — 412 тайлов — модель достигла: F1-score для класса «нефть» — ноль целых восемьдесят девять (Precision 0,91, Recall 0,87); среднее mIoU — ноль целых восемьдесят два; общая точность — девяносто пять и восемь десятых процента. Целевой критерий ноль целых восемьдесят пять —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 по всем классам: вода распознаётся с точностью 96,2 процента, лёд и суша — 96,0. Основная ошибка — 8,4 процента пикселей нефти уходят в класс «лёд плюс суша»: это физически предсказуемо, так как молодой лёд и нефть имеют схожие сигнатуры обратного рассеяния.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9 — Сравнение</w:t>
      </w:r>
    </w:p>
    <w:p>
      <w:pPr>
        <w:spacing w:before="240" w:after="40"/>
      </w:pPr>
      <w:r>
        <w:rPr>
          <w:b/>
          <w:color w:val="1E40AF"/>
          <w:sz w:val="24"/>
        </w:rPr>
        <w:t>СЛАЙД 9. СРАВНЕНИЕ С АНАЛОГАМИ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Сравнение с четырьмя альтернативными методами показало превосходство DeepLabV3+ по всем метрикам. Лучший из аналогов — U-Net Krestenitis с F1 ноль целых восемьдесят шесть. Наша модель — ноль целых восемьдесят девять; прирост девять процентных пунктов относительно реализованного в учебной практике порогового метода. Выигрыш обеспечивается именно сочетанием внимания scSE и трёхклассовой схемы.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10 — Переносимость</w:t>
      </w:r>
    </w:p>
    <w:p>
      <w:pPr>
        <w:spacing w:before="240" w:after="40"/>
      </w:pPr>
      <w:r>
        <w:rPr>
          <w:b/>
          <w:color w:val="1E40AF"/>
          <w:sz w:val="24"/>
        </w:rPr>
        <w:t>СЛАЙД 10.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Для оценки обобщаемости методика проверена на двух других портах без дообучения. На шести сценах Варандея F1 снизилась до 0,84, на пяти сценах Сабетты — до 0,76. Деградация закономерна: с удалением от Кольского залива растёт доля незнакомых ледовых типов. Вывод: методика принципиально применима к новым акваториям, для тяжёлых ледовых условий нужно целевое дообучение.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11 — Ложные цели</w:t>
      </w:r>
    </w:p>
    <w:p>
      <w:pPr>
        <w:spacing w:before="240" w:after="40"/>
      </w:pPr>
      <w:r>
        <w:rPr>
          <w:b/>
          <w:color w:val="1E40AF"/>
          <w:sz w:val="24"/>
        </w:rPr>
        <w:t>СЛАЙД 11. ТИПЫ ЛОЖНЫХ ЦЕЛЕЙ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Качественный анализ позволил классифицировать ложные цели по акваториям. В Печенге преобладают ветровые тени и биогенные плёнки. В Варандее — первогодний дрейфующий лёд. В Сабетте, самой сложной акватории, — жировой и ниласовый лёд и припай. На снимке справа видно, как модель отделяет реальные тёмные зоны от ледовых ложных целей — именно понимание их физики и легло в основу трёхклассовой схемы.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12 — Заключение</w:t>
      </w:r>
    </w:p>
    <w:p>
      <w:pPr>
        <w:spacing w:before="240" w:after="40"/>
      </w:pPr>
      <w:r>
        <w:rPr>
          <w:b/>
          <w:color w:val="1E40AF"/>
          <w:sz w:val="24"/>
        </w:rPr>
        <w:t>СЛАЙД 12.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Поставленная цель достигнута: F1-score 0,89 при критерии не ниже 0,85. Решены все четыре задачи: систематизированы ограничения методов и обоснован выбор DeepLabV3+; сформирован датасет из 1125 сцен с трёхклассовой разметкой; реализован прототип-конвейер, код в открытом доступе; экспериментально подтверждено превосходство над аналогами.</w:t>
      </w:r>
    </w:p>
    <w:p>
      <w:pPr>
        <w:spacing w:after="80"/>
        <w:ind w:firstLine="567"/>
        <w:jc w:val="both"/>
      </w:pPr>
      <w:r>
        <w:t>Практическая значимость: разработанный прототип применим в составе оперативных систем экологического мониторинга арктических портов — в интересах Росприроднадзора, МЧС России, ФГБУ «Морспасслужба» и Государственной корпорации «Росатом» в рамках мониторинга Северного морского пути.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13 — Спасибо</w:t>
      </w:r>
    </w:p>
    <w:p>
      <w:pPr>
        <w:spacing w:before="240" w:after="40"/>
      </w:pPr>
      <w:r>
        <w:rPr>
          <w:b/>
          <w:color w:val="1E40AF"/>
          <w:sz w:val="24"/>
        </w:rPr>
        <w:t>СЛАЙД 13.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(Актуальность):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3 (Цель):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4 (Новизна):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5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6 (Архитектура):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(Датасет):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8 (Результаты):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9 (Сравнение):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(Перенос):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11 (Ложные цели):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12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13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~8 мин 40 сек  (запас ~1 мин 20 сек)</w:t>
      </w:r>
    </w:p>
    <w:p/>
    <w:p>
      <w:pPr>
        <w:pStyle w:val="ListBullet"/>
        <w:spacing w:after="60"/>
      </w:pPr>
      <w:r>
        <w:t>Обозначения [Перелистнуть →] — сигнал переключить слайд. Говорить спокойно, 110–120 слов/мин.</w:t>
      </w:r>
    </w:p>
    <w:p>
      <w:pPr>
        <w:pStyle w:val="ListBullet"/>
        <w:spacing w:after="60"/>
      </w:pPr>
      <w:r>
        <w:t>Если начинаете выбиваться из времени: сократите второй абзац слайда 2 и первый абзац слайда 7.</w:t>
      </w:r>
    </w:p>
    <w:p>
      <w:pPr>
        <w:pStyle w:val="ListBullet"/>
        <w:spacing w:after="60"/>
      </w:pPr>
      <w:r>
        <w:t>Слайды 14–18 (резервные) — открывать при вопросах комиссии, не листать в основном докладе.</w:t>
      </w:r>
    </w:p>
    <w:p>
      <w:pPr>
        <w:pStyle w:val="ListBullet"/>
        <w:spacing w:after="60"/>
      </w:pPr>
      <w:r>
        <w:t>Ключевые числа, которые НЕЛЬЗЯ перепутать: F1 = 0,89 (нефть), mIoU = 0,82, Acc = 95,8 %.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