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2 — Актуальность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[~55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Однако у радара принципиальная проблема: лёд, биоплёнки и штиль дают тёмные пятна, визуально неотличимые от нефти. В сентябре 2024 года разлив мазута при бункеровке танкера в Кольском заливе — именно такая задача. У классических методов до семидесяти процентов ложных срабатываний. Решение: нужна трёхклассовая нейросетевая модель.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3 — Цель и задачи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Цель работы — автоматизация детектирования нефтяных разливов по данным Sentinel-1 за счёт разработки трёхклассовой нейросетевой модели семантической сегментации, адаптированной к условиям активного ледообразования и обеспечивающей F1-score для класса «нефть» не ниже ноль целых восьмидесяти пяти. Для достижения цели поставлены четыре задачи: выявить ограничения аналогов и обосновать архитектуру; разработать методику датасета и обучить модель; реализовать программный прототип; провести экспериментальную оценку.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4 — Существующие методы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В таблице систематизированы характерные подходы. Методы Оцу и U-Net Krestenitis, GLCM с CNN и адаптивный порог — все они бинарные и не выделяют лёд в отдельный класс. Именно это порождает до семидесяти процентов ложных тревог в арктических условиях. Наша работа, в нижней строке, — единственная, где сочетаются трёхклассовость, учёт ледовых ложных целей и работа с арктическими данными.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5 — Конвейер обработки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Разработанная система реализована в виде трёхэтапного конвейера. Первый этап — предобработка в программном комплексе ESA SNAP: шесть шагов от уточнения орбиты до геометрической привязки к местности. Второй — нейросетевая сегментация на три класса с помощью DeepLabV3+. Третий — верификация обнаруженных аномалий по метеоданным реанализа ERA5 и навигационным данным AIS. Полный цикл занимает шестьдесят пять секунд на одну сцену Sentinel-1.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6 — Датасет и обучение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[~55 сек]</w:t>
      </w:r>
    </w:p>
    <w:p>
      <w:pPr>
        <w:spacing w:after="80"/>
        <w:ind w:firstLine="567"/>
        <w:jc w:val="both"/>
      </w:pPr>
      <w:r>
        <w:t>Датасет объединяет тысячу сто двадцать пять сцен: тысяча сто двенадцать из открытого набора MKLab Krestenitis, переразмеченных в трёхклассовую схему, и тринадцать собственных сцен Кольского залива, размеченных вручную. После нарезки с перекрытием пятьдесят процентов — четыре тысячи сто двадцать восемь тайлов, деление по сценам семьдесят, двадцать, десять.</w:t>
      </w:r>
    </w:p>
    <w:p>
      <w:pPr>
        <w:spacing w:after="80"/>
        <w:ind w:firstLine="567"/>
        <w:jc w:val="both"/>
      </w:pPr>
      <w:r>
        <w:t>Главная сложность — дисбаланс: пиксели нефти составляют лишь 2,4 процента. Решение — взвешенная функция потерь Dice-BCE, вес класса «нефть» повышен до 9,8. Обучение методом AdamW: сто эпох, лучшее mIoU ноль целых восемьдесят четыре достигнуто на семьдесят восьмой эпохе без переобучения.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7 — Результаты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На отложенной тестовой выборке Кольского залива — 412 тайлов — модель достигла: F1-score для класса «нефть» — ноль целых восемьдесят девять (Precision 0,91, Recall 0,87); среднее mIoU — ноль целых восемьдесят два; общая точность — девяносто пять и восемь десятых процента. Целевой критерий ноль целых восемьдесят пять — выполнен.</w:t>
      </w:r>
    </w:p>
    <w:p>
      <w:pPr>
        <w:spacing w:after="80"/>
        <w:ind w:firstLine="567"/>
        <w:jc w:val="both"/>
      </w:pPr>
      <w:r>
        <w:t>Матрица ошибок показывает устойчивое распознавание: вода — 96,2 процента, лёд и суша — 96,0. Основная ошибка — 8,4 процента пикселей нефти уходят в класс «лёд плюс суша»: это физически предсказуемо, так как молодой лёд и нефть имеют схожие сигнатуры обратного рассеяния.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8 — Сравнение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Сравнение с четырьмя альтернативными методами показало превосходство DeepLabV3+ по всем метрикам. Лучший из аналогов — U-Net Krestenitis с F1 ноль целых восемьдесят шесть. Наша модель — ноль целых восемьдесят девять; прирост девять процентных пунктов относительно порогового метода. Выигрыш обеспечивается сочетанием внимания scSE и трёхклассовой схемы.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9 — Переносимость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Для оценки обобщаемости методика проверена на двух других портах без дообучения. На шести сценах Варандея F1 снизилась до 0,84, на пяти сценах Сабетты — до 0,76. Деградация закономерна: с удалением от Кольского залива растёт доля незнакомых ледовых типов. Вывод: методика принципиально применима, для тяжёлых ледовых условий нужно целевое дообучение.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Слайды 10–12 — Ложные цели по портам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Безлёдная акватория Баренцева моря. Главные ложные цели — ветровые тени при штиле и биогенные плёнки. На снимке видно, как модель правильно отделяет их от нефтяного пятна.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11 — Терминал Варандей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Печорское море, сезонный первогодний дрейфующий лёд. При бинарной классификации он неотличим от нефти. Трёхклассовая схема явно разделяет их.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12 — Порт Сабетта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Самая сложная акватория: Обская губа Карского моря, жировой и ниласовый лёд, припай. Эти типы льда слабо представлены в обучении — отсюда снижение F1 до 0,76 при переносе без дообучения.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Слайд 13 — Заключение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Подведу итог. Поставленная цель достигнута: F1-score 0,89 при критерии не ниже 0,85. Решены все четыре задачи: систематизированы ограничения методов и обоснован выбор DeepLabV3+ со scSE; сформирован датасет из 1125 сцен с трёхклассовой разметкой; реализован прототип-конвейер обработки SAR-сцен; экспериментально подтверждено превосходство над аналогами и проверена переносимость на другие арктические акватории.</w:t>
      </w:r>
    </w:p>
    <w:p>
      <w:pPr>
        <w:spacing w:after="80"/>
        <w:ind w:firstLine="567"/>
        <w:jc w:val="both"/>
      </w:pPr>
      <w:r>
        <w:t>Практическая значимость: разработанный прототип применим в составе оперативных систем экологического мониторинга арктических портов — в интересах Росприроднадзора, МЧС России, «Морспасслужбы» и мониторинга Северного морского пути.</w:t>
      </w:r>
    </w:p>
    <w:p>
      <w:pPr>
        <w:spacing w:before="80" w:after="40"/>
      </w:pPr>
      <w:r>
        <w:rPr>
          <w:i/>
          <w:color w:val="B5331F"/>
          <w:sz w:val="24"/>
        </w:rPr>
        <w:t>[Перелистнуть → ] Последний слайд — Спасибо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~55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~55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~8 мин 05 сек  (запас ~1 мин 55 сек)</w:t>
      </w:r>
    </w:p>
    <w:p/>
    <w:p>
      <w:pPr>
        <w:pStyle w:val="ListBullet"/>
        <w:spacing w:after="60"/>
      </w:pPr>
      <w:r>
        <w:t>Обозначения [Перелистнуть →] — сигнал переключить слайд. Говорить спокойно, 110–120 слов/мин.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6.</w:t>
      </w:r>
    </w:p>
    <w:p>
      <w:pPr>
        <w:pStyle w:val="ListBullet"/>
        <w:spacing w:after="60"/>
      </w:pPr>
      <w:r>
        <w:t>Слайды 14–17 (резервные В.1–В.4) — открывать только при вопросах комиссии.</w:t>
      </w:r>
    </w:p>
    <w:p>
      <w:pPr>
        <w:pStyle w:val="ListBullet"/>
        <w:spacing w:after="60"/>
      </w:pPr>
      <w:r>
        <w:t>Слайд В.4 (Ответы на замечания) — ждите вопрос про VH-канал и про Сабетту.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