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разлив мазута при бункеровке танкера в Кольском заливе одиннадцатого сентября две тысячи двадцать четвёртого года;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Сердце конвейера — нейросеть, а её качество определяется данными, на которых она обучена.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Датасет и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Теперь о данных, на которых обучалась модель. Всего использовано тысяча сто двадцать пять размеченных снимков. Из них тысяча сто двенадцать — это открытый, общедоступный набор данных; я переразметил его под свою трёхклассовую схему. А тринадцать снимков Кольского залива я собрал и разметил вручную сам — это арктическая, самая ценная часть данных. После нарезки снимков на небольшие фрагменты получилось четыре тысячи сто двадцать восемь обучающих образцов.</w:t>
      </w:r>
    </w:p>
    <w:p>
      <w:pPr>
        <w:spacing w:after="80"/>
        <w:ind w:firstLine="567"/>
        <w:jc w:val="both"/>
      </w:pPr>
      <w:r>
        <w:t>Главная сложность данных — сильный перекос: нефть занимает всего около двух процентов изображения. Чтобы модель не игнорировала такой редкий класс, я специально повысил его значимость при обучении. Технические детали обучения приведены на слайде.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Прежде чем перейти к вопросам, кратко покажу технические детали, на которых держится работа.</w:t>
      </w:r>
    </w:p>
    <w:p>
      <w:pPr>
        <w:spacing w:before="0" w:after="40"/>
      </w:pPr>
      <w:r>
        <w:rPr>
          <w:color w:val="6B7280"/>
          <w:sz w:val="20"/>
        </w:rPr>
        <w:t>[Перелистнуть → В.1 — Архитектура]</w:t>
      </w:r>
    </w:p>
    <w:p>
      <w:pPr>
        <w:spacing w:before="240" w:after="40"/>
      </w:pPr>
      <w:r>
        <w:rPr>
          <w:b/>
          <w:color w:val="1E40AF"/>
          <w:sz w:val="24"/>
        </w:rPr>
        <w:t>СЛАЙД В.1. АРХИТЕКТУРА МОДЕЛИ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Нейросеть состоит из трёх частей. Энкодер извлекает признаки со снимка. Блок ASPP анализирует снимок сразу в нескольких масштабах — это важно, потому что пятна бывают разного размера. Декодер собирает всё и выдаёт карту трёх классов. Дополнительный блок внимания помогает сосредоточиться на нужных зонах снимка.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— как модель обучалась.</w:t>
      </w:r>
    </w:p>
    <w:p>
      <w:pPr>
        <w:spacing w:before="0" w:after="40"/>
      </w:pPr>
      <w:r>
        <w:rPr>
          <w:color w:val="6B7280"/>
          <w:sz w:val="20"/>
        </w:rPr>
        <w:t>[Перелистнуть → В.2 —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В.2. ОБУЧЕНИЕ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Главная сложность: нефть — менее двух процентов пикселей. Чтобы модель её не игнорировала, я специально повысил её значимость при обучении: нефть «штрафуется» примерно в тридцать раз сильнее воды. Обучение — сто эпох, лучший результат достигнут на семьдесят восьмой.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Пара слов о том, как готовились снимки перед подачей в модель.</w:t>
      </w:r>
    </w:p>
    <w:p>
      <w:pPr>
        <w:spacing w:before="0" w:after="40"/>
      </w:pPr>
      <w:r>
        <w:rPr>
          <w:color w:val="6B7280"/>
          <w:sz w:val="20"/>
        </w:rPr>
        <w:t>[Перелистнуть → В.3 — Предобработка]</w:t>
      </w:r>
    </w:p>
    <w:p>
      <w:pPr>
        <w:spacing w:before="240" w:after="40"/>
      </w:pPr>
      <w:r>
        <w:rPr>
          <w:b/>
          <w:color w:val="1E40AF"/>
          <w:sz w:val="24"/>
        </w:rPr>
        <w:t>СЛАЙД В.3. ПРЕДОБРАБОТКА SAR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Каждый снимок перед нейросетью проходит шесть шагов в свободном программном комплексе ESA SNAP: уточнение орбиты, удаление шума, перевод в физические единицы, подавление зернистости, географическая привязка и перевод в логарифмическую шкалу. Это стандартный, воспроизводимый конвейер.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наконец — ответы на замечания рецензента.</w:t>
      </w:r>
    </w:p>
    <w:p>
      <w:pPr>
        <w:spacing w:before="0" w:after="40"/>
      </w:pPr>
      <w:r>
        <w:rPr>
          <w:color w:val="6B7280"/>
          <w:sz w:val="20"/>
        </w:rPr>
        <w:t>[Перелистнуть → В.4 — Ответы на замечания]</w:t>
      </w:r>
    </w:p>
    <w:p>
      <w:pPr>
        <w:spacing w:before="240" w:after="40"/>
      </w:pPr>
      <w:r>
        <w:rPr>
          <w:b/>
          <w:color w:val="1E40AF"/>
          <w:sz w:val="24"/>
        </w:rPr>
        <w:t>СЛАЙД В.4. ОТВЕТЫ НА ЗАМЕЧАНИЯ</w:t>
      </w:r>
      <w:r>
        <w:rPr>
          <w:i/>
          <w:color w:val="6B7280"/>
          <w:sz w:val="20"/>
        </w:rPr>
        <w:t xml:space="preserve">  [~25 сек]</w:t>
      </w:r>
    </w:p>
    <w:p>
      <w:pPr>
        <w:spacing w:after="80"/>
        <w:ind w:firstLine="567"/>
        <w:jc w:val="both"/>
      </w:pPr>
      <w:r>
        <w:t>Первое замечание — про второй канал VH. Основной датасет доступен только в канале VV, поэтому работа выполнена в одном канале. Добавление VH — запланированный следующий шаг.</w:t>
      </w:r>
    </w:p>
    <w:p>
      <w:pPr>
        <w:spacing w:after="80"/>
        <w:ind w:firstLine="567"/>
        <w:jc w:val="both"/>
      </w:pPr>
      <w:r>
        <w:t>Второе замечание — расширить тестовую выборку. Деградация качества уже зафиксирована: 0,89 на Кольском, 0,84 на Варандее, 0,76 на Сабетте. Решение — дообучить на десяти–пятнадцати сценах Сабетты.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всё.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Последний слайд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18. СПАСИБО ЗА ВНИМАНИЕ</w:t>
      </w:r>
      <w:r>
        <w:rPr>
          <w:i/>
          <w:color w:val="6B7280"/>
          <w:sz w:val="20"/>
        </w:rPr>
        <w:t xml:space="preserve">  [~5 сек]</w:t>
      </w:r>
    </w:p>
    <w:p>
      <w:pPr>
        <w:spacing w:after="80"/>
        <w:ind w:firstLine="567"/>
        <w:jc w:val="both"/>
      </w:pPr>
      <w:r>
        <w:t>Доклад окончен. Готов ответить на ваши вопросы.</w:t>
      </w:r>
    </w:p>
    <w:p>
      <w:pPr>
        <w:spacing w:before="240" w:after="40"/>
      </w:pPr>
      <w:r>
        <w:rPr>
          <w:b/>
          <w:color w:val="1E40AF"/>
          <w:sz w:val="24"/>
        </w:rPr>
        <w:t>СЛАЙД В.4. ОТВЕТЫ НА ЗАМЕЧАНИЯ</w:t>
      </w:r>
      <w:r>
        <w:rPr>
          <w:i/>
          <w:color w:val="6B7280"/>
          <w:sz w:val="20"/>
        </w:rPr>
        <w:t xml:space="preserve">  [(при вопросе рецензента)]</w:t>
      </w:r>
    </w:p>
    <w:p>
      <w:pPr>
        <w:spacing w:after="80"/>
        <w:ind w:firstLine="567"/>
        <w:jc w:val="both"/>
      </w:pPr>
      <w:r>
        <w:t>Замечание первое — про VH-канал. Основной открытый датасет доступен только в канале VV, поэтому работа выполнена в одном канале. Блок scSE-внимания частично компенсирует это за счёт пространственной фокусировки. Добавление второго канала VH — это следующий шаг.</w:t>
      </w:r>
    </w:p>
    <w:p>
      <w:pPr>
        <w:spacing w:after="80"/>
        <w:ind w:firstLine="567"/>
        <w:jc w:val="both"/>
      </w:pPr>
      <w:r>
        <w:t>Замечание второе — расширить тестовую выборку. Деградация точности при переносе на Сабетту уже зафиксирована и подробно разобрана в четвёртой главе: 0,89 на Кольском, 0,84 на Варандее, 0,76 на Сабетте. Ближайший шаг — дообучить модель на десяти–пятнадцати дополнительных сценах Сабетты. Это устранит проблему.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В.1  (Архитектура):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В.2  (Обучение):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В.3  (Предобработка):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В.4  (Замечания): </w:t>
      </w:r>
      <w:r>
        <w:rPr>
          <w:sz w:val="24"/>
        </w:rPr>
        <w:t>~25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~5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~9 мин 00 сек  (запас ~1 мин 00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Если выбиваетесь из времени: сократите слайды В.1–В.3 до одного предложения каждый.</w:t>
      </w:r>
    </w:p>
    <w:p>
      <w:pPr>
        <w:pStyle w:val="ListBullet"/>
        <w:spacing w:after="60"/>
      </w:pPr>
      <w:r>
        <w:t>В.1–В.4 показывать последовательно сразу после Заключения — они органично завершают доклад.</w:t>
      </w:r>
    </w:p>
    <w:p>
      <w:pPr>
        <w:pStyle w:val="ListBullet"/>
        <w:spacing w:after="60"/>
      </w:pPr>
      <w:r>
        <w:t>Если комиссия перебьёт вопросом — переходите на нужный слайд В.N напрямую.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