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  <w:br/>
        <w:t>(строгий регламент 10 минут — цель ~9 минут с запасом)</w:t>
      </w:r>
    </w:p>
    <w:p>
      <w:pPr>
        <w:spacing w:before="200" w:after="40"/>
      </w:pPr>
      <w:r>
        <w:rPr>
          <w:b/>
          <w:sz w:val="26"/>
        </w:rPr>
        <w:t>Слайд 1. Титул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«Автоматическое детектирование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200" w:after="40"/>
      </w:pPr>
      <w:r>
        <w:rPr>
          <w:b/>
          <w:sz w:val="26"/>
        </w:rPr>
        <w:t>Слайд 2. Актуальность и проблема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океан попадает более семисот тысяч тонн углеводородов, а в холодных водах нефть разлагается в пять–десять раз медленнее. При этом более восьмидесяти процентов времени над портами держатся облачность и полярная ночь — оптические спутники бесполезны. Всепогодное решение — радар Sentinel-1.</w:t>
      </w:r>
    </w:p>
    <w:p>
      <w:pPr>
        <w:spacing w:after="80"/>
        <w:ind w:firstLine="567"/>
        <w:jc w:val="both"/>
      </w:pPr>
      <w:r>
        <w:t>Но у радара есть ключевая проблема: лёд, биоплёнки и штиль дают тёмные пятна, неотличимые от нефти по яркости. У классических методов до семидесяти процентов ложных срабатываний. Справа — разлив мазута в Кольском заливе в августе 2024 года, который модель уверенно выделяет.</w:t>
      </w:r>
    </w:p>
    <w:p>
      <w:pPr>
        <w:spacing w:before="200" w:after="40"/>
      </w:pPr>
      <w:r>
        <w:rPr>
          <w:b/>
          <w:sz w:val="26"/>
        </w:rPr>
        <w:t>Слайд 3. Цель и задачи</w:t>
      </w:r>
    </w:p>
    <w:p>
      <w:pPr>
        <w:spacing w:after="80"/>
        <w:ind w:firstLine="567"/>
        <w:jc w:val="both"/>
      </w:pPr>
      <w:r>
        <w:t>Цель работы — автоматизация детектирования нефтяных разливов по данным Sentinel-1 за счёт трёхклассовой нейросетевой модели сегментации с F1-мерой для класса «нефть» не ниже ноль целых восьмидесяти пяти сотых.</w:t>
      </w:r>
    </w:p>
    <w:p>
      <w:pPr>
        <w:spacing w:after="80"/>
        <w:ind w:firstLine="567"/>
        <w:jc w:val="both"/>
      </w:pPr>
      <w:r>
        <w:t>Для её достижения поставлены четыре задачи: выявить ограничения существующих методов и обосновать архитектуру; разработать методику датасета и обучить модель; реализовать программный прототип; провести экспериментальную оценку и сравнительный анализ.</w:t>
      </w:r>
    </w:p>
    <w:p>
      <w:pPr>
        <w:spacing w:before="200" w:after="40"/>
      </w:pPr>
      <w:r>
        <w:rPr>
          <w:b/>
          <w:sz w:val="26"/>
        </w:rPr>
        <w:t>Слайд 4. Научная новизна</w:t>
      </w:r>
    </w:p>
    <w:p>
      <w:pPr>
        <w:spacing w:after="80"/>
        <w:ind w:firstLine="567"/>
        <w:jc w:val="both"/>
      </w:pPr>
      <w:r>
        <w:t>Новизна — в трёх элементах. Главное — переход от бинарной схемы «нефть — фон», принятой почти во всех работах, к трёхклассовой: вода, нефть и отдельный класс «лёд плюс суша». Вынося лёд в отдельный класс, мы напрямую боремся с главным источником ложных тревог.</w:t>
      </w:r>
    </w:p>
    <w:p>
      <w:pPr>
        <w:spacing w:after="80"/>
        <w:ind w:firstLine="567"/>
        <w:jc w:val="both"/>
      </w:pPr>
      <w:r>
        <w:t>Второе — методика арктического датасета: разметка Кольского залива в QGIS с привлечением метеоданных ERA5 и судовых данных AIS. Третье — архитектура DeepLabV3+ с блоками внимания scSE, адаптированная к одноканальным радарным данным, и взвешенная функция потерь Dice-BCE против дисбаланса.</w:t>
      </w:r>
    </w:p>
    <w:p>
      <w:pPr>
        <w:spacing w:before="200" w:after="40"/>
      </w:pPr>
      <w:r>
        <w:rPr>
          <w:b/>
          <w:sz w:val="26"/>
        </w:rPr>
        <w:t>Слайд 5. Существующие методы</w:t>
      </w:r>
    </w:p>
    <w:p>
      <w:pPr>
        <w:spacing w:after="80"/>
        <w:ind w:firstLine="567"/>
        <w:jc w:val="both"/>
      </w:pPr>
      <w:r>
        <w:t>В таблице систематизированы характерные подходы: пороговый метод Оцу, U-Net Krestenitis, связка GLCM с CNN и практический порог. Все они бинарные и не выделяют лёд в отдельный класс — отсюда до семидесяти процентов ложных тревог. Наша работа в нижней строке — единственная, где сочетаются трёхклассовость, учёт ледовых ложных целей и арктические данные.</w:t>
      </w:r>
    </w:p>
    <w:p>
      <w:pPr>
        <w:spacing w:before="200" w:after="40"/>
      </w:pPr>
      <w:r>
        <w:rPr>
          <w:b/>
          <w:sz w:val="26"/>
        </w:rPr>
        <w:t>Слайд 6. Архитектура решения</w:t>
      </w:r>
    </w:p>
    <w:p>
      <w:pPr>
        <w:spacing w:after="80"/>
        <w:ind w:firstLine="567"/>
        <w:jc w:val="both"/>
      </w:pPr>
      <w:r>
        <w:t>Решение — трёхэтапный модульный конвейер. Первый этап — предобработка в ESA SNAP: коррекция орбиты, удаление шума, калибровка, фильтр спекла, геокоррекция и перевод в децибелы. Второй — нейросетевая сегментация на три класса. Третий — верификация аномалий по морфологии пятна и контексту с учётом метеоданных и AIS.</w:t>
      </w:r>
    </w:p>
    <w:p>
      <w:pPr>
        <w:spacing w:after="80"/>
        <w:ind w:firstLine="567"/>
        <w:jc w:val="both"/>
      </w:pPr>
      <w:r>
        <w:t>Обработка одной сцены — шестьдесят пять секунд. Реализация на Python и PyTorch, вычисления на NVIDIA RTX 3090, код в открытом доступе.</w:t>
      </w:r>
    </w:p>
    <w:p>
      <w:pPr>
        <w:spacing w:before="200" w:after="40"/>
      </w:pPr>
      <w:r>
        <w:rPr>
          <w:b/>
          <w:sz w:val="26"/>
        </w:rPr>
        <w:t>Слайд 7. Датасет и обучение</w:t>
      </w:r>
    </w:p>
    <w:p>
      <w:pPr>
        <w:spacing w:after="80"/>
        <w:ind w:firstLine="567"/>
        <w:jc w:val="both"/>
      </w:pPr>
      <w:r>
        <w:t>Датасет объединяет тысячу сто двадцать пять сцен: тысяча сто двенадцать из открытого набора MKLab Krestenitis и тринадцать собственных сцен Кольского залива, размеченных вручную. После нарезки — четыре тысячи сто двадцать восемь тайлов, деление семьдесят, двадцать, десять на уровне сцен.</w:t>
      </w:r>
    </w:p>
    <w:p>
      <w:pPr>
        <w:spacing w:after="80"/>
        <w:ind w:firstLine="567"/>
        <w:jc w:val="both"/>
      </w:pPr>
      <w:r>
        <w:t>Главная сложность — дисбаланс: пиксели нефти составляют менее двух с половиной процентов. Решение — весовые коэффициенты в функции потерь, вес класса «нефть» повышен до девяти целых восьми десятых. Обучение сошлось устойчиво: лучшее mIoU ноль целых восемьдесят четыре на семьдесят восьмой эпохе, без переобучения.</w:t>
      </w:r>
    </w:p>
    <w:p>
      <w:pPr>
        <w:spacing w:before="200" w:after="40"/>
      </w:pPr>
      <w:r>
        <w:rPr>
          <w:b/>
          <w:sz w:val="26"/>
        </w:rPr>
        <w:t>Слайд 8. Результаты</w:t>
      </w:r>
    </w:p>
    <w:p>
      <w:pPr>
        <w:spacing w:after="80"/>
        <w:ind w:firstLine="567"/>
        <w:jc w:val="both"/>
      </w:pPr>
      <w:r>
        <w:t>На тестовой выборке модель достигла F1-меры ноль целых восемьдесят девять для класса «нефть», mIoU ноль целых восемьдесят два и общей точности девяносто пять и восемь десятых процента — целевой критерий выполнен.</w:t>
      </w:r>
    </w:p>
    <w:p>
      <w:pPr>
        <w:spacing w:after="80"/>
        <w:ind w:firstLine="567"/>
        <w:jc w:val="both"/>
      </w:pPr>
      <w:r>
        <w:t>Матрица ошибок показывает устойчивое распознавание всех трёх классов: вода и лёд плюс суша — около девяноста шести процентов. Основная ошибка — восемь и четыре десятых процента пикселей нефти уходят в класс «лёд плюс суша» из-за физически схожих тёмных сигнатур.</w:t>
      </w:r>
    </w:p>
    <w:p>
      <w:pPr>
        <w:spacing w:before="200" w:after="40"/>
      </w:pPr>
      <w:r>
        <w:rPr>
          <w:b/>
          <w:sz w:val="26"/>
        </w:rPr>
        <w:t>Слайд 9. Сравнение с аналогами</w:t>
      </w:r>
    </w:p>
    <w:p>
      <w:pPr>
        <w:spacing w:after="80"/>
        <w:ind w:firstLine="567"/>
        <w:jc w:val="both"/>
      </w:pPr>
      <w:r>
        <w:t>По F1-мере класса «нефть» наша модель показала ноль целых восемьдесят девять — лучший результат, с приростом ноль целых восемнадцать к пороговому методу Оцу. Модель превзошла все четыре аналога по всем метрикам; прирост обеспечен сочетанием внимания scSE и трёхклассовой схемы.</w:t>
      </w:r>
    </w:p>
    <w:p>
      <w:pPr>
        <w:spacing w:before="200" w:after="40"/>
      </w:pPr>
      <w:r>
        <w:rPr>
          <w:b/>
          <w:sz w:val="26"/>
        </w:rPr>
        <w:t>Слайд 10. Переносимость</w:t>
      </w:r>
    </w:p>
    <w:p>
      <w:pPr>
        <w:spacing w:after="80"/>
        <w:ind w:firstLine="567"/>
        <w:jc w:val="both"/>
      </w:pPr>
      <w:r>
        <w:t>Методику я проверил ещё на двух портах без дообучения. Качество закономерно снижается с удалением от региона обучения: Кольский залив — ноль целых восемьдесят девять, Варандей — ноль целых восемьдесят четыре, Сабетта — ноль целых семьдесят шесть. Вывод: методика применима к новым акваториям, но для тяжёлых ледовых условий нужно целевое дообучение.</w:t>
      </w:r>
    </w:p>
    <w:p>
      <w:pPr>
        <w:spacing w:before="200" w:after="40"/>
      </w:pPr>
      <w:r>
        <w:rPr>
          <w:b/>
          <w:sz w:val="26"/>
        </w:rPr>
        <w:t>Слайд 11. Типы ложных целей</w:t>
      </w:r>
    </w:p>
    <w:p>
      <w:pPr>
        <w:spacing w:after="80"/>
        <w:ind w:firstLine="567"/>
        <w:jc w:val="both"/>
      </w:pPr>
      <w:r>
        <w:t>Ложные цели классифицированы по акваториям: в Печенге — ветровые тени и биоплёнки, в Варандее — первогодний дрейфующий лёд, в Сабетте — жировой и ниласовый лёд и припай. Справа на примере Варандея видно, как модель отделяет реальные тёмные зоны от ледовых ложных целей. Понимание этой физики и легло в основу трёхклассовой схемы.</w:t>
      </w:r>
    </w:p>
    <w:p>
      <w:pPr>
        <w:spacing w:before="200" w:after="40"/>
      </w:pPr>
      <w:r>
        <w:rPr>
          <w:b/>
          <w:sz w:val="26"/>
        </w:rPr>
        <w:t>Слайд 12. Заключение</w:t>
      </w:r>
    </w:p>
    <w:p>
      <w:pPr>
        <w:spacing w:after="80"/>
        <w:ind w:firstLine="567"/>
        <w:jc w:val="both"/>
      </w:pPr>
      <w:r>
        <w:t>Цель достигнута: F1 ноль целых восемьдесят девять при критерии не ниже ноль целых восемьдесят пять. Решены все четыре задачи: систематизированы методы, создан датасет с трёхклассовой разметкой, реализован прототип-конвейер с открытым кодом, экспериментально подтверждено превосходство над пороговыми и классическими методами.</w:t>
      </w:r>
    </w:p>
    <w:p>
      <w:pPr>
        <w:spacing w:after="80"/>
        <w:ind w:firstLine="567"/>
        <w:jc w:val="both"/>
      </w:pPr>
      <w:r>
        <w:t>Практическая значимость — применимость в системах экологического мониторинга арктических портов: Росприроднадзор, МЧС, «Морспасслужба» и мониторинг Северного морского пути.</w:t>
      </w:r>
    </w:p>
    <w:p>
      <w:pPr>
        <w:spacing w:before="200" w:after="40"/>
      </w:pPr>
      <w:r>
        <w:rPr>
          <w:b/>
          <w:sz w:val="26"/>
        </w:rPr>
        <w:t>Слайд 13. Завершение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00" w:after="40"/>
      </w:pPr>
      <w:r>
        <w:rPr>
          <w:b/>
          <w:sz w:val="26"/>
        </w:rPr>
        <w:t>Ориентировочный хронометраж</w:t>
      </w:r>
    </w:p>
    <w:p>
      <w:pPr>
        <w:pStyle w:val="ListBullet"/>
        <w:spacing w:after="40"/>
      </w:pPr>
      <w:r>
        <w:t>Слайды 1, 3, 5, 9, 10, 11 — по ~0,5–0,6 мин</w:t>
      </w:r>
    </w:p>
    <w:p>
      <w:pPr>
        <w:pStyle w:val="ListBullet"/>
        <w:spacing w:after="40"/>
      </w:pPr>
      <w:r>
        <w:t>Слайды 2, 4, 6, 7, 8, 12 — по ~0,7–0,9 мин</w:t>
      </w:r>
    </w:p>
    <w:p>
      <w:pPr>
        <w:pStyle w:val="ListBullet"/>
        <w:spacing w:after="40"/>
      </w:pPr>
      <w:r>
        <w:t>Слайд 13 — 10 секунд</w:t>
      </w:r>
    </w:p>
    <w:p>
      <w:pPr>
        <w:pStyle w:val="ListBullet"/>
        <w:spacing w:after="40"/>
      </w:pPr>
      <w:r>
        <w:t>ИТОГО: ~8,5–9 минут в спокойном темпе (запас до регламента 10 минут)</w:t>
      </w:r>
    </w:p>
    <w:p>
      <w:pPr>
        <w:pStyle w:val="ListBullet"/>
        <w:spacing w:after="40"/>
      </w:pPr>
      <w:r>
        <w:t>Совет: говорить ровно, не частить; при нехватке времени сократить второй абзац слайдов 2 и 6 — они наименее критичны.</w:t>
      </w:r>
    </w:p>
    <w:p>
      <w:pPr>
        <w:pStyle w:val="ListBullet"/>
        <w:spacing w:after="40"/>
      </w:pPr>
      <w:r>
        <w:t>Резервные слайды 14–18 (в том же файле, после «Спасибо») — для ответов на вопросы комиссии: архитектура DeepLabV3+, функция потерь, предобработка SNAP, метрики, разбор матрицы ошибок.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