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~8,5–9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2 — Актуальность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[~55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Однако у радара принципиальная проблема: лёд, биоплёнки и штиль дают тёмные пятна, визуально неотличимые от нефти. В сентябре 2024 года разлив мазута при бункеровке танкера в Кольском заливе — на снимке справа — именно такая задача. У классических методов до семидесяти процентов ложных срабатываний. Решение: нужна трёхклассовая модель.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3 — Цель и задачи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Цель работы — автоматизация процесса детектирования нефтяных разливов по данным Sentinel-1 за счёт разработки нейросетевой трёхклассовой модели семантической сегментации, адаптированной к условиям активного ледообразования и обеспечивающей F1-score для класса «нефть» не ниже ноль целых восьмидесяти пяти. Для достижения цели поставлены четыре задачи: выявить ограничения аналогов и обосновать архитектуру; разработать методику датасета и обучить модель; реализовать программный прототип; провести экспериментальную оценку.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4 — Научная новизна</w:t>
      </w:r>
    </w:p>
    <w:p>
      <w:pPr>
        <w:spacing w:before="240" w:after="40"/>
      </w:pPr>
      <w:r>
        <w:rPr>
          <w:b/>
          <w:color w:val="1E40AF"/>
          <w:sz w:val="24"/>
        </w:rPr>
        <w:t>СЛАЙД 4. НАУЧНАЯ НОВИЗНА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Научная новизна — в трёх элементах. Первый и главный: впервые для арктических акваторий предложена трёхклассовая схема сегментации «нефть — вода — лёд плюс суша» вместо бинарной «нефть — фон», применяемой во всех известных работах. Вынося начальные формы льда в отдельный класс, мы напрямую устраняем главный источник ложных тревог.</w:t>
      </w:r>
    </w:p>
    <w:p>
      <w:pPr>
        <w:spacing w:after="80"/>
        <w:ind w:firstLine="567"/>
        <w:jc w:val="both"/>
      </w:pPr>
      <w:r>
        <w:t>Второй: методика формирования арктического датасета — полигональная разметка снимков Кольского залива в QGIS с верификацией по реанализу ERA5 и судовым данным AIS. Третий: архитектура DeepLabV3+ с энкодером ResNet-50 и блоками внимания scSE адаптирована к одноканальным SAR-данным, а дисбаланс классов устранён взвешенной функцией потерь Dice-BCE.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5 — Существующие методы</w:t>
      </w:r>
    </w:p>
    <w:p>
      <w:pPr>
        <w:spacing w:before="240" w:after="40"/>
      </w:pPr>
      <w:r>
        <w:rPr>
          <w:b/>
          <w:color w:val="1E40AF"/>
          <w:sz w:val="24"/>
        </w:rPr>
        <w:t>СЛАЙД 5.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 таблице систематизированы характерные подходы. Методы Оцу и U-Net Krestenitis, GLCM с CNN и адаптивный порог — все они бинарные и не выделяют лёд в отдельный класс. Именно это порождает до семидесяти процентов ложных тревог в арктических условиях. Наша работа, в нижней строке, — единственная, где сочетаются трёхклассовость, учёт ледовых ложных целей и работа с арктическими данными.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6 — Архитектура</w:t>
      </w:r>
    </w:p>
    <w:p>
      <w:pPr>
        <w:spacing w:before="240" w:after="40"/>
      </w:pPr>
      <w:r>
        <w:rPr>
          <w:b/>
          <w:color w:val="1E40AF"/>
          <w:sz w:val="24"/>
        </w:rPr>
        <w:t>СЛАЙД 6. АРХИТЕКТУРА РЕШЕНИЯ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Программное решение реализовано как трёхэтапный модульный конвейер. Первый этап — предобработка в ESA SNAP: шесть шагов от коррекции орбиты до перевода в децибелы. Второй — нейросетевая сегментация на три класса. Третий — верификация аномалий по морфологии пятна, метеоданным ERA5 и навигационным данным AIS.</w:t>
      </w:r>
    </w:p>
    <w:p>
      <w:pPr>
        <w:spacing w:after="80"/>
        <w:ind w:firstLine="567"/>
        <w:jc w:val="both"/>
      </w:pPr>
      <w:r>
        <w:t>Полное время обработки одной сцены Sentinel-1 — шестьдесят пять секунд, что обеспечивает применимость в оперативном режиме. Реализация на Python и PyTorch, вычисления на NVIDIA RTX 3090. Исходный код доступен на GitHub по запросу к автору, ключевые модули приведены в приложениях к работе.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7 — Датасет</w:t>
      </w:r>
    </w:p>
    <w:p>
      <w:pPr>
        <w:spacing w:before="240" w:after="40"/>
      </w:pPr>
      <w:r>
        <w:rPr>
          <w:b/>
          <w:color w:val="1E40AF"/>
          <w:sz w:val="24"/>
        </w:rPr>
        <w:t>СЛАЙД 7. ДАТАСЕТ И ОБУЧЕНИЕ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Датасет объединяет тысячу сто двадцать пять сцен: тысяча сто двенадцать из открытого набора MKLab Krestenitis, переразмеченных в трёхклассовую схему, и тринадцать собственных сцен Кольского залива, размеченных вручную. После нарезки с перекрытием пятьдесят процентов — четыре тысячи сто двадцать восемь тайлов, деление по сценам семьдесят, двадцать, десять.</w:t>
      </w:r>
    </w:p>
    <w:p>
      <w:pPr>
        <w:spacing w:after="80"/>
        <w:ind w:firstLine="567"/>
        <w:jc w:val="both"/>
      </w:pPr>
      <w:r>
        <w:t>Главная сложность — дисбаланс: пиксели нефти составляют лишь 2,4 процента. Решение — взвешенная функция потерь Dice-BCE, вес класса «нефть» повышен до 9,8. Обучение методом AdamW: сто эпох, лучшее mIoU ноль целых восемьдесят четыре достигнуто на семьдесят восьмой эпохе без переобучения.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8 — Результаты</w:t>
      </w:r>
    </w:p>
    <w:p>
      <w:pPr>
        <w:spacing w:before="240" w:after="40"/>
      </w:pPr>
      <w:r>
        <w:rPr>
          <w:b/>
          <w:color w:val="1E40AF"/>
          <w:sz w:val="24"/>
        </w:rPr>
        <w:t>СЛАЙД 8. РЕЗУЛЬТАТЫ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На отложенной тестовой выборке Кольского залива — 412 тайлов — модель достигла: F1-score для класса «нефть» — ноль целых восемьдесят девять (Precision 0,91, Recall 0,87); среднее mIoU — ноль целых восемьдесят два; общая точность — девяносто пять и восемь десятых процента. Целевой критерий ноль целых восемьдесят пять — выполнен.</w:t>
      </w:r>
    </w:p>
    <w:p>
      <w:pPr>
        <w:spacing w:after="80"/>
        <w:ind w:firstLine="567"/>
        <w:jc w:val="both"/>
      </w:pPr>
      <w:r>
        <w:t>Матрица ошибок показывает устойчивое распознавание по всем классам: вода распознаётся с точностью 96,2 процента, лёд и суша — 96,0. Основная ошибка — 8,4 процента пикселей нефти уходят в класс «лёд плюс суша»: это физически предсказуемо, так как молодой лёд и нефть имеют схожие сигнатуры обратного рассеяния.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9 — Сравнение</w:t>
      </w:r>
    </w:p>
    <w:p>
      <w:pPr>
        <w:spacing w:before="240" w:after="40"/>
      </w:pPr>
      <w:r>
        <w:rPr>
          <w:b/>
          <w:color w:val="1E40AF"/>
          <w:sz w:val="24"/>
        </w:rPr>
        <w:t>СЛАЙД 9. СРАВНЕНИЕ С АНАЛОГАМИ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Сравнение с четырьмя альтернативными методами показало превосходство DeepLabV3+ по всем метрикам. Лучший из аналогов — U-Net Krestenitis с F1 ноль целых восемьдесят шесть. Наша модель — ноль целых восемьдесят девять; прирост девять процентных пунктов относительно реализованного в учебной практике порогового метода. Выигрыш обеспечивается именно сочетанием внимания scSE и трёхклассовой схемы.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10 — Переносимость</w:t>
      </w:r>
    </w:p>
    <w:p>
      <w:pPr>
        <w:spacing w:before="240" w:after="40"/>
      </w:pPr>
      <w:r>
        <w:rPr>
          <w:b/>
          <w:color w:val="1E40AF"/>
          <w:sz w:val="24"/>
        </w:rPr>
        <w:t>СЛАЙД 10.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Для оценки обобщаемости методика проверена на двух других портах без дообучения. На шести сценах Варандея F1 снизилась до 0,84, на пяти сценах Сабетты — до 0,76. Деградация закономерна: с удалением от Кольского залива растёт доля незнакомых ледовых типов. Вывод: методика принципиально применима к новым акваториям, для тяжёлых ледовых условий нужно целевое дообучение.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11 — Порт Печенга</w:t>
      </w:r>
    </w:p>
    <w:p>
      <w:pPr>
        <w:spacing w:before="240" w:after="40"/>
      </w:pPr>
      <w:r>
        <w:rPr>
          <w:b/>
          <w:color w:val="1E40AF"/>
          <w:sz w:val="24"/>
        </w:rPr>
        <w:t>СЛАЙД 11. ПОРТ ПЕЧЕНГА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Безлёдная акватория Баренцева моря. Ложные цели здесь — ветровые тени при штиле и биогенные поверхностные плёнки. На снимке видно, как модель правильно отделяет их от нефти.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12 — Терминал Варандей</w:t>
      </w:r>
    </w:p>
    <w:p>
      <w:pPr>
        <w:spacing w:before="240" w:after="40"/>
      </w:pPr>
      <w:r>
        <w:rPr>
          <w:b/>
          <w:color w:val="1E40AF"/>
          <w:sz w:val="24"/>
        </w:rPr>
        <w:t>СЛАЙД 12. ТЕРМИНАЛ ВАРАНДЕЙ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Печорское море, сезонный дрейфующий лёд. При бинарной классификации первогодний лёд неотличим от нефти. Трёхклассовая схема явно разделяет их.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13 — Порт Сабетта</w:t>
      </w:r>
    </w:p>
    <w:p>
      <w:pPr>
        <w:spacing w:before="240" w:after="40"/>
      </w:pPr>
      <w:r>
        <w:rPr>
          <w:b/>
          <w:color w:val="1E40AF"/>
          <w:sz w:val="24"/>
        </w:rPr>
        <w:t>СЛАЙД 13. ПОРТ САБЕТТА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Самая сложная акватория: Обская губа Карского моря, жировой и ниласовый лёд, припай. Здесь F1 снизилась до 0,76 при переносе без дообучения — именно из-за этих ледовых типов, недостаточно представленных в обучении.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14 — Заключение</w:t>
      </w:r>
    </w:p>
    <w:p>
      <w:pPr>
        <w:spacing w:before="240" w:after="40"/>
      </w:pPr>
      <w:r>
        <w:rPr>
          <w:b/>
          <w:color w:val="1E40AF"/>
          <w:sz w:val="24"/>
        </w:rPr>
        <w:t>СЛАЙД 14.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Поставленная цель достигнута: F1-score 0,89 при критерии не ниже 0,85. Решены все четыре задачи: систематизированы ограничения методов и обоснован выбор DeepLabV3+; сформирован датасет из 1125 сцен с трёхклассовой разметкой; реализован прототип-конвейер; экспериментально подтверждено превосходство над аналогами.</w:t>
      </w:r>
    </w:p>
    <w:p>
      <w:pPr>
        <w:spacing w:after="80"/>
        <w:ind w:firstLine="567"/>
        <w:jc w:val="both"/>
      </w:pPr>
      <w:r>
        <w:t>Практическая значимость: разработанный прототип применим в составе оперативных систем экологического мониторинга арктических портов — в интересах Росприроднадзора, МЧС России, «Морспасслужбы» и Государственной корпорации «Росатом» в рамках мониторинга Северного морского пути.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Последний слайд — Спасибо</w:t>
      </w:r>
    </w:p>
    <w:p>
      <w:pPr>
        <w:spacing w:before="240" w:after="40"/>
      </w:pPr>
      <w:r>
        <w:rPr>
          <w:b/>
          <w:color w:val="1E40AF"/>
          <w:sz w:val="24"/>
        </w:rPr>
        <w:t>СЛАЙД 15.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~55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4  (Новизна):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5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6  (Архитектура):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(Датасет):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8  (Результаты):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9  (Сравнение):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(Перенос):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11 (Печенга):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12 (Варандей):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13 (Сабетта):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14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Спасибо: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~8 мин 50 сек  (запас ~1 мин 10 сек)</w:t>
      </w:r>
    </w:p>
    <w:p/>
    <w:p>
      <w:pPr>
        <w:pStyle w:val="ListBullet"/>
        <w:spacing w:after="60"/>
      </w:pPr>
      <w:r>
        <w:t>Обозначения [Перелистнуть →] — сигнал переключить слайд. Говорить спокойно, 110–120 слов/мин.</w:t>
      </w:r>
    </w:p>
    <w:p>
      <w:pPr>
        <w:pStyle w:val="ListBullet"/>
        <w:spacing w:after="60"/>
      </w:pPr>
      <w:r>
        <w:t>Если начинаете выбиваться из времени: сократите второй абзац слайда 2 и первый абзац слайда 7.</w:t>
      </w:r>
    </w:p>
    <w:p>
      <w:pPr>
        <w:pStyle w:val="ListBullet"/>
        <w:spacing w:after="60"/>
      </w:pPr>
      <w:r>
        <w:t>Слайды 14–18 (резервные) — открывать при вопросах комиссии, не листать в основном докладе.</w:t>
      </w:r>
    </w:p>
    <w:p>
      <w:pPr>
        <w:pStyle w:val="ListBullet"/>
        <w:spacing w:after="60"/>
      </w:pPr>
      <w:r>
        <w:t>Ключевые числа, которые НЕЛЬЗЯ перепутать: F1 = 0,89 (нефть), mIoU = 0,82, Acc = 95,8 %.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