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0"/>
        </w:rPr>
        <w:t>ТЕКСТ ВЫСТУПЛЕНИЯ К ЗАЩИТЕ ВКР</w:t>
      </w:r>
    </w:p>
    <w:p>
      <w:pPr>
        <w:spacing w:after="200"/>
        <w:jc w:val="center"/>
      </w:pPr>
      <w:r>
        <w:rPr>
          <w:i/>
          <w:color w:val="6B7280"/>
          <w:sz w:val="22"/>
        </w:rPr>
        <w:t>Байханов В. К. · СПбГУ · 2026 · Регламент: строго 10 минут · Цель: ~8–8,5 мин</w:t>
      </w:r>
    </w:p>
    <w:p>
      <w:pPr>
        <w:spacing w:before="240" w:after="40"/>
      </w:pPr>
      <w:r>
        <w:rPr>
          <w:b/>
          <w:color w:val="1E40AF"/>
          <w:sz w:val="24"/>
        </w:rPr>
        <w:t>СЛАЙД 1. ТИТУЛ</w:t>
      </w:r>
      <w:r>
        <w:rPr>
          <w:i/>
          <w:color w:val="6B7280"/>
          <w:sz w:val="20"/>
        </w:rPr>
        <w:t xml:space="preserve">  [~20 сек]</w:t>
      </w:r>
    </w:p>
    <w:p>
      <w:pPr>
        <w:spacing w:after="80"/>
        <w:ind w:firstLine="567"/>
        <w:jc w:val="both"/>
      </w:pPr>
      <w:r>
        <w:t>Уважаемый председатель, уважаемые члены государственной экзаменационной комиссии! Вашему вниманию представляется выпускная квалификационная работа на тему «Разработка системы автоматического детектирования нефтяных разливов в акваториях арктических портов по данным спутниковой радиолокационной съёмки». Научный руководитель — кандидат технических наук, доцент Митько Арсений Валерьевич.</w:t>
      </w:r>
    </w:p>
    <w:p>
      <w:pPr>
        <w:spacing w:before="80" w:after="40"/>
        <w:ind w:firstLine="567"/>
        <w:jc w:val="both"/>
      </w:pPr>
      <w:r>
        <w:rPr>
          <w:i/>
          <w:color w:val="B5331F"/>
          <w:sz w:val="26"/>
        </w:rPr>
        <w:t>Начну с того, почему эта задача важна именно сейчас.</w:t>
      </w:r>
    </w:p>
    <w:p>
      <w:pPr>
        <w:spacing w:before="0" w:after="40"/>
      </w:pPr>
      <w:r>
        <w:rPr>
          <w:color w:val="6B7280"/>
          <w:sz w:val="20"/>
        </w:rPr>
        <w:t>[Перелистнуть → Слайд 2 — Актуальность]</w:t>
      </w:r>
    </w:p>
    <w:p>
      <w:pPr>
        <w:spacing w:before="240" w:after="40"/>
      </w:pPr>
      <w:r>
        <w:rPr>
          <w:b/>
          <w:color w:val="1E40AF"/>
          <w:sz w:val="24"/>
        </w:rPr>
        <w:t>СЛАЙД 2. АКТУАЛЬНОСТЬ И ПРОБЛЕМА</w:t>
      </w:r>
      <w:r>
        <w:rPr>
          <w:i/>
          <w:color w:val="6B7280"/>
          <w:sz w:val="20"/>
        </w:rPr>
        <w:t xml:space="preserve">  [~60 сек]</w:t>
      </w:r>
    </w:p>
    <w:p>
      <w:pPr>
        <w:spacing w:after="80"/>
        <w:ind w:firstLine="567"/>
        <w:jc w:val="both"/>
      </w:pPr>
      <w:r>
        <w:t>Нефтяное загрязнение — одна из главных угроз экосистемам Арктики. Ежегодно в Мировой океан попадает более семисот тысяч тонн углеводородов, причём доля Арктики устойчиво растёт из-за расширения судоходства по Северному морскому пути. В холодных водах нефть разлагается в пять–десять раз медленнее, что приводит к долговременному ущербу. Более восьмидесяти процентов времени над портами — облачность и полярная ночь, поэтому единственный всепогодный инструмент — радиолокационная съёмка Sentinel-1.</w:t>
      </w:r>
    </w:p>
    <w:p>
      <w:pPr>
        <w:spacing w:after="80"/>
        <w:ind w:firstLine="567"/>
        <w:jc w:val="both"/>
      </w:pPr>
      <w:r>
        <w:t>Но у радиолокации есть принципиальное ограничение. На радарном снимке нефтяная плёнка выглядит как тёмное пятно — однако точно такие же тёмные пятна дают молодой лёд, биогенные плёнки и зоны штиля. Из-за этих ложных целей классические пороговые методы дают до семидесяти процентов ложных срабатываний. Наглядный пример — внизу слайда: разлив мазута при бункеровке танкера в Кольском заливе одиннадцатого сентября две тысячи двадцать четвёртого года; этот случай и стал отправной точкой моей работы. Чтобы надёжно отличать нефть от её ледовых двойников, нужна не бинарная, а трёхклассовая нейросетевая модель — её разработке и посвящена работа.</w:t>
      </w:r>
    </w:p>
    <w:p>
      <w:pPr>
        <w:spacing w:before="80" w:after="40"/>
        <w:ind w:firstLine="567"/>
        <w:jc w:val="both"/>
      </w:pPr>
      <w:r>
        <w:rPr>
          <w:i/>
          <w:color w:val="B5331F"/>
          <w:sz w:val="26"/>
        </w:rPr>
        <w:t>Сформулированная проблема определила цель и задачи работы.</w:t>
      </w:r>
    </w:p>
    <w:p>
      <w:pPr>
        <w:spacing w:before="0" w:after="40"/>
      </w:pPr>
      <w:r>
        <w:rPr>
          <w:color w:val="6B7280"/>
          <w:sz w:val="20"/>
        </w:rPr>
        <w:t>[Перелистнуть → Слайд 3 — Цель и задачи]</w:t>
      </w:r>
    </w:p>
    <w:p>
      <w:pPr>
        <w:spacing w:before="240" w:after="40"/>
      </w:pPr>
      <w:r>
        <w:rPr>
          <w:b/>
          <w:color w:val="1E40AF"/>
          <w:sz w:val="24"/>
        </w:rPr>
        <w:t>СЛАЙД 3. ЦЕЛЬ И ЗАДАЧИ</w:t>
      </w:r>
      <w:r>
        <w:rPr>
          <w:i/>
          <w:color w:val="6B7280"/>
          <w:sz w:val="20"/>
        </w:rPr>
        <w:t xml:space="preserve">  [~35 сек]</w:t>
      </w:r>
    </w:p>
    <w:p>
      <w:pPr>
        <w:spacing w:after="80"/>
        <w:ind w:firstLine="567"/>
        <w:jc w:val="both"/>
      </w:pPr>
      <w:r>
        <w:t>Цель работы — автоматизировать обнаружение нефтяных разливов по снимкам Sentinel-1. Для этого нужна нейросетевая модель, которая делит снимок на три класса — вода, нефть и лёд с сушей — и обеспечивает точность обнаружения нефти, показатель F1, не ниже ноль целых восьмидесяти пяти. Для достижения цели поставлены четыре задачи: изучить недостатки существующих методов и обосновать выбор архитектуры; собрать и разметить данные и обучить модель; реализовать программу-прототип; и оценить качество на реальных данных.</w:t>
      </w:r>
    </w:p>
    <w:p>
      <w:pPr>
        <w:spacing w:before="80" w:after="40"/>
        <w:ind w:firstLine="567"/>
        <w:jc w:val="both"/>
      </w:pPr>
      <w:r>
        <w:rPr>
          <w:i/>
          <w:color w:val="B5331F"/>
          <w:sz w:val="26"/>
        </w:rPr>
        <w:t>Чтобы обосновать выбор архитектуры, я сначала проанализировал существующие методы.</w:t>
      </w:r>
    </w:p>
    <w:p>
      <w:pPr>
        <w:spacing w:before="0" w:after="40"/>
      </w:pPr>
      <w:r>
        <w:rPr>
          <w:color w:val="6B7280"/>
          <w:sz w:val="20"/>
        </w:rPr>
        <w:t>[Перелистнуть → Слайд 4 — Существующие методы]</w:t>
      </w:r>
    </w:p>
    <w:p>
      <w:pPr>
        <w:spacing w:before="240" w:after="40"/>
      </w:pPr>
      <w:r>
        <w:rPr>
          <w:b/>
          <w:color w:val="1E40AF"/>
          <w:sz w:val="24"/>
        </w:rPr>
        <w:t>СЛАЙД 4. СУЩЕСТВУЮЩИЕ МЕТОДЫ</w:t>
      </w:r>
      <w:r>
        <w:rPr>
          <w:i/>
          <w:color w:val="6B7280"/>
          <w:sz w:val="20"/>
        </w:rPr>
        <w:t xml:space="preserve">  [~35 сек]</w:t>
      </w:r>
    </w:p>
    <w:p>
      <w:pPr>
        <w:spacing w:after="80"/>
        <w:ind w:firstLine="567"/>
        <w:jc w:val="both"/>
      </w:pPr>
      <w:r>
        <w:t>На слайде — таблица существующих подходов. Здесь и классический пороговый метод Оцу, и нейросети, например U-Net, и метод, анализирующий текстуру снимка, — в таблице он обозначен как GLCM плюс CNN. У всех у них один общий недостаток: они работают по схеме «нефть или не нефть» и не выделяют лёд в отдельный класс. Именно из-за этого в Арктике они дают до семидесяти процентов ложных тревог. Моя работа — нижняя строка таблицы — единственная, где есть сразу и три класса, и учёт ледовых ложных целей, и работа именно с арктическими данными.</w:t>
      </w:r>
    </w:p>
    <w:p>
      <w:pPr>
        <w:spacing w:before="80" w:after="40"/>
        <w:ind w:firstLine="567"/>
        <w:jc w:val="both"/>
      </w:pPr>
      <w:r>
        <w:rPr>
          <w:i/>
          <w:color w:val="B5331F"/>
          <w:sz w:val="26"/>
        </w:rPr>
        <w:t>Опираясь на эти выводы, я построил собственный конвейер обработки данных.</w:t>
      </w:r>
    </w:p>
    <w:p>
      <w:pPr>
        <w:spacing w:before="0" w:after="40"/>
      </w:pPr>
      <w:r>
        <w:rPr>
          <w:color w:val="6B7280"/>
          <w:sz w:val="20"/>
        </w:rPr>
        <w:t>[Перелистнуть → Слайд 5 — Конвейер обработки]</w:t>
      </w:r>
    </w:p>
    <w:p>
      <w:pPr>
        <w:spacing w:before="240" w:after="40"/>
      </w:pPr>
      <w:r>
        <w:rPr>
          <w:b/>
          <w:color w:val="1E40AF"/>
          <w:sz w:val="24"/>
        </w:rPr>
        <w:t>СЛАЙД 5. КОНВЕЙЕР ОБРАБОТКИ SAR-ДАННЫХ</w:t>
      </w:r>
      <w:r>
        <w:rPr>
          <w:i/>
          <w:color w:val="6B7280"/>
          <w:sz w:val="20"/>
        </w:rPr>
        <w:t xml:space="preserve">  [~30 сек]</w:t>
      </w:r>
    </w:p>
    <w:p>
      <w:pPr>
        <w:spacing w:after="80"/>
        <w:ind w:firstLine="567"/>
        <w:jc w:val="both"/>
      </w:pPr>
      <w:r>
        <w:t>Вся система работает как конвейер из трёх этапов. Первый этап — подготовка снимка: очистка от помех и географическая привязка; всё выполняется в свободном комплексе ESA SNAP. Второй этап — сама нейросеть, она делит снимок на три класса. Третий этап — проверка найденных пятен по данным о погоде и о движении судов, чтобы отсеять ложные срабатывания. Полная обработка одного снимка занимает шестьдесят пять секунд.</w:t>
      </w:r>
    </w:p>
    <w:p>
      <w:pPr>
        <w:spacing w:before="80" w:after="40"/>
        <w:ind w:firstLine="567"/>
        <w:jc w:val="both"/>
      </w:pPr>
      <w:r>
        <w:rPr>
          <w:i/>
          <w:color w:val="B5331F"/>
          <w:sz w:val="26"/>
        </w:rPr>
        <w:t>Сердце конвейера — нейросеть, а её качество определяется данными, на которых она обучена.</w:t>
      </w:r>
    </w:p>
    <w:p>
      <w:pPr>
        <w:spacing w:before="0" w:after="40"/>
      </w:pPr>
      <w:r>
        <w:rPr>
          <w:color w:val="6B7280"/>
          <w:sz w:val="20"/>
        </w:rPr>
        <w:t>[Перелистнуть → Слайд 6 — Датасет и обучение]</w:t>
      </w:r>
    </w:p>
    <w:p>
      <w:pPr>
        <w:spacing w:before="240" w:after="40"/>
      </w:pPr>
      <w:r>
        <w:rPr>
          <w:b/>
          <w:color w:val="1E40AF"/>
          <w:sz w:val="24"/>
        </w:rPr>
        <w:t>СЛАЙД 6. ДАТАСЕТ И ОБУЧЕНИЕ</w:t>
      </w:r>
      <w:r>
        <w:rPr>
          <w:i/>
          <w:color w:val="6B7280"/>
          <w:sz w:val="20"/>
        </w:rPr>
        <w:t xml:space="preserve">  [~45 сек]</w:t>
      </w:r>
    </w:p>
    <w:p>
      <w:pPr>
        <w:spacing w:after="80"/>
        <w:ind w:firstLine="567"/>
        <w:jc w:val="both"/>
      </w:pPr>
      <w:r>
        <w:t>Теперь о данных, на которых обучалась модель. Всего использовано тысяча сто двадцать пять размеченных снимков. Из них тысяча сто двенадцать — это открытый, общедоступный набор данных; я переразметил его под свою трёхклассовую схему. А тринадцать снимков Кольского залива я собрал и разметил вручную сам — это арктическая, самая ценная часть данных. После нарезки снимков на небольшие фрагменты получилось четыре тысячи сто двадцать восемь обучающих образцов.</w:t>
      </w:r>
    </w:p>
    <w:p>
      <w:pPr>
        <w:spacing w:after="80"/>
        <w:ind w:firstLine="567"/>
        <w:jc w:val="both"/>
      </w:pPr>
      <w:r>
        <w:t>Главная сложность данных — сильный перекос: нефть занимает всего около двух процентов изображения. Чтобы модель не игнорировала такой редкий класс, я специально повысил его значимость при обучении. Технические детали обучения приведены на слайде.</w:t>
      </w:r>
    </w:p>
    <w:p>
      <w:pPr>
        <w:spacing w:before="80" w:after="40"/>
        <w:ind w:firstLine="567"/>
        <w:jc w:val="both"/>
      </w:pPr>
      <w:r>
        <w:rPr>
          <w:i/>
          <w:color w:val="B5331F"/>
          <w:sz w:val="26"/>
        </w:rPr>
        <w:t>Теперь посмотрим, какого качества удалось достичь.</w:t>
      </w:r>
    </w:p>
    <w:p>
      <w:pPr>
        <w:spacing w:before="0" w:after="40"/>
      </w:pPr>
      <w:r>
        <w:rPr>
          <w:color w:val="6B7280"/>
          <w:sz w:val="20"/>
        </w:rPr>
        <w:t>[Перелистнуть → Слайд 7 — Результаты]</w:t>
      </w:r>
    </w:p>
    <w:p>
      <w:pPr>
        <w:spacing w:before="240" w:after="40"/>
      </w:pPr>
      <w:r>
        <w:rPr>
          <w:b/>
          <w:color w:val="1E40AF"/>
          <w:sz w:val="24"/>
        </w:rPr>
        <w:t>СЛАЙД 7. РЕЗУЛЬТАТЫ</w:t>
      </w:r>
      <w:r>
        <w:rPr>
          <w:i/>
          <w:color w:val="6B7280"/>
          <w:sz w:val="20"/>
        </w:rPr>
        <w:t xml:space="preserve">  [~40 сек]</w:t>
      </w:r>
    </w:p>
    <w:p>
      <w:pPr>
        <w:spacing w:after="80"/>
        <w:ind w:firstLine="567"/>
        <w:jc w:val="both"/>
      </w:pPr>
      <w:r>
        <w:t>Перейдём к результатам. Главный показатель — точность обнаружения нефти, это метрика F1 — составил ноль целых восемьдесят девять при целевом уровне ноль целых восемьдесят пять. То есть цель работы достигнута. Общая точность модели — почти девяносто шесть процентов. Подробные цифры по всем классам и матрица ошибок представлены на слайде.</w:t>
      </w:r>
    </w:p>
    <w:p>
      <w:pPr>
        <w:spacing w:after="80"/>
        <w:ind w:firstLine="567"/>
        <w:jc w:val="both"/>
      </w:pPr>
      <w:r>
        <w:t>Отмечу главное: основная — и при этом небольшая — ошибка возникает там, где модель путает нефть с молодым льдом. Это физически объяснимо: на радарном снимке они действительно очень похожи.</w:t>
      </w:r>
    </w:p>
    <w:p>
      <w:pPr>
        <w:spacing w:before="80" w:after="40"/>
        <w:ind w:firstLine="567"/>
        <w:jc w:val="both"/>
      </w:pPr>
      <w:r>
        <w:rPr>
          <w:i/>
          <w:color w:val="B5331F"/>
          <w:sz w:val="26"/>
        </w:rPr>
        <w:t>Чтобы оценить эти результаты объективно, сравню их с известными аналогами.</w:t>
      </w:r>
    </w:p>
    <w:p>
      <w:pPr>
        <w:spacing w:before="0" w:after="40"/>
      </w:pPr>
      <w:r>
        <w:rPr>
          <w:color w:val="6B7280"/>
          <w:sz w:val="20"/>
        </w:rPr>
        <w:t>[Перелистнуть → Слайд 8 — Сравнение]</w:t>
      </w:r>
    </w:p>
    <w:p>
      <w:pPr>
        <w:spacing w:before="240" w:after="40"/>
      </w:pPr>
      <w:r>
        <w:rPr>
          <w:b/>
          <w:color w:val="1E40AF"/>
          <w:sz w:val="24"/>
        </w:rPr>
        <w:t>СЛАЙД 8. СРАВНЕНИЕ С АНАЛОГАМИ</w:t>
      </w:r>
      <w:r>
        <w:rPr>
          <w:i/>
          <w:color w:val="6B7280"/>
          <w:sz w:val="20"/>
        </w:rPr>
        <w:t xml:space="preserve">  [~30 сек]</w:t>
      </w:r>
    </w:p>
    <w:p>
      <w:pPr>
        <w:spacing w:after="80"/>
        <w:ind w:firstLine="567"/>
        <w:jc w:val="both"/>
      </w:pPr>
      <w:r>
        <w:t>Чтобы показать, что результат действительно сильный, я сравнил свою модель с четырьмя другими методами на одних и тех же данных. Сравнение приведено на слайде. По всем показателям моя модель оказалась лучше: ближайший конкурент дал ноль целых восемьдесят шесть, а моя модель — ноль целых восемьдесят девять. Главная причина выигрыша — именно трёхклассовая схема с отдельным классом льда.</w:t>
      </w:r>
    </w:p>
    <w:p>
      <w:pPr>
        <w:spacing w:before="80" w:after="40"/>
        <w:ind w:firstLine="567"/>
        <w:jc w:val="both"/>
      </w:pPr>
      <w:r>
        <w:rPr>
          <w:i/>
          <w:color w:val="B5331F"/>
          <w:sz w:val="26"/>
        </w:rPr>
        <w:t>Закономерно встаёт вопрос — насколько модель переносима на другие порты.</w:t>
      </w:r>
    </w:p>
    <w:p>
      <w:pPr>
        <w:spacing w:before="0" w:after="40"/>
      </w:pPr>
      <w:r>
        <w:rPr>
          <w:color w:val="6B7280"/>
          <w:sz w:val="20"/>
        </w:rPr>
        <w:t>[Перелистнуть → Слайд 9 — Переносимость]</w:t>
      </w:r>
    </w:p>
    <w:p>
      <w:pPr>
        <w:spacing w:before="240" w:after="40"/>
      </w:pPr>
      <w:r>
        <w:rPr>
          <w:b/>
          <w:color w:val="1E40AF"/>
          <w:sz w:val="24"/>
        </w:rPr>
        <w:t>СЛАЙД 9. ПЕРЕНОСИМОСТЬ</w:t>
      </w:r>
      <w:r>
        <w:rPr>
          <w:i/>
          <w:color w:val="6B7280"/>
          <w:sz w:val="20"/>
        </w:rPr>
        <w:t xml:space="preserve">  [~35 сек]</w:t>
      </w:r>
    </w:p>
    <w:p>
      <w:pPr>
        <w:spacing w:after="80"/>
        <w:ind w:firstLine="567"/>
        <w:jc w:val="both"/>
      </w:pPr>
      <w:r>
        <w:t>Важный вопрос — будет ли модель работать в других портах, а не только там, где она обучалась. Я проверил её на двух новых портах без дополнительного обучения. В Варандее точность осталась высокой — ноль целых восемьдесят четыре; в Сабетте снизилась до ноль целых семьдесят шесть. Снижение закономерно: чем дальше порт, тем больше непривычных для модели типов льда. Вывод: подход рабочий, а для самых тяжёлых ледовых условий нужно небольшое дообучение на местных данных.</w:t>
      </w:r>
    </w:p>
    <w:p>
      <w:pPr>
        <w:spacing w:before="80" w:after="40"/>
        <w:ind w:firstLine="567"/>
        <w:jc w:val="both"/>
      </w:pPr>
      <w:r>
        <w:rPr>
          <w:i/>
          <w:color w:val="B5331F"/>
          <w:sz w:val="26"/>
        </w:rPr>
        <w:t>Разберу конкретные ложные цели в каждом из портов — начну с Печенги.</w:t>
      </w:r>
    </w:p>
    <w:p>
      <w:pPr>
        <w:spacing w:before="0" w:after="40"/>
      </w:pPr>
      <w:r>
        <w:rPr>
          <w:color w:val="6B7280"/>
          <w:sz w:val="20"/>
        </w:rPr>
        <w:t>[Перелистнуть → Слайд 10 — Порт Печенга]</w:t>
      </w:r>
    </w:p>
    <w:p>
      <w:pPr>
        <w:spacing w:before="240" w:after="40"/>
      </w:pPr>
      <w:r>
        <w:rPr>
          <w:b/>
          <w:color w:val="1E40AF"/>
          <w:sz w:val="24"/>
        </w:rPr>
        <w:t>СЛАЙД 10. ПОРТ ПЕЧЕНГА</w:t>
      </w:r>
      <w:r>
        <w:rPr>
          <w:i/>
          <w:color w:val="6B7280"/>
          <w:sz w:val="20"/>
        </w:rPr>
        <w:t xml:space="preserve">  [~18 сек]</w:t>
      </w:r>
    </w:p>
    <w:p>
      <w:pPr>
        <w:spacing w:after="80"/>
        <w:ind w:firstLine="567"/>
        <w:jc w:val="both"/>
      </w:pPr>
      <w:r>
        <w:t>Порт Печенга, Баренцево море — льда здесь почти нет. На снимке показаны два главных «обманщика» радара: тёмные пятна от затишья ветра и плёнки от водорослей. Модель правильно распознала их как не-нефть и не подняла ложную тревогу.</w:t>
      </w:r>
    </w:p>
    <w:p>
      <w:pPr>
        <w:spacing w:before="80" w:after="40"/>
        <w:ind w:firstLine="567"/>
        <w:jc w:val="both"/>
      </w:pPr>
      <w:r>
        <w:rPr>
          <w:i/>
          <w:color w:val="B5331F"/>
          <w:sz w:val="26"/>
        </w:rPr>
        <w:t>Переходим севернее — терминал Варандей, где главная сложность уже ледовая.</w:t>
      </w:r>
    </w:p>
    <w:p>
      <w:pPr>
        <w:spacing w:before="0" w:after="40"/>
      </w:pPr>
      <w:r>
        <w:rPr>
          <w:color w:val="6B7280"/>
          <w:sz w:val="20"/>
        </w:rPr>
        <w:t>[Перелистнуть → Слайд 11 — Терминал Варандей]</w:t>
      </w:r>
    </w:p>
    <w:p>
      <w:pPr>
        <w:spacing w:before="240" w:after="40"/>
      </w:pPr>
      <w:r>
        <w:rPr>
          <w:b/>
          <w:color w:val="1E40AF"/>
          <w:sz w:val="24"/>
        </w:rPr>
        <w:t>СЛАЙД 11. ТЕРМИНАЛ ВАРАНДЕЙ</w:t>
      </w:r>
      <w:r>
        <w:rPr>
          <w:i/>
          <w:color w:val="6B7280"/>
          <w:sz w:val="20"/>
        </w:rPr>
        <w:t xml:space="preserve">  [~18 сек]</w:t>
      </w:r>
    </w:p>
    <w:p>
      <w:pPr>
        <w:spacing w:after="80"/>
        <w:ind w:firstLine="567"/>
        <w:jc w:val="both"/>
      </w:pPr>
      <w:r>
        <w:t>Терминал Варандей, Печорское море. Здесь главная трудность — дрейфующий молодой лёд. Обычный, бинарный метод принял бы его за нефть. На снимке видно, как трёхклассовая модель чётко отделяет лёд от возможного нефтяного пятна.</w:t>
      </w:r>
    </w:p>
    <w:p>
      <w:pPr>
        <w:spacing w:before="80" w:after="40"/>
        <w:ind w:firstLine="567"/>
        <w:jc w:val="both"/>
      </w:pPr>
      <w:r>
        <w:rPr>
          <w:i/>
          <w:color w:val="B5331F"/>
          <w:sz w:val="26"/>
        </w:rPr>
        <w:t>И самый трудный случай — порт Сабетта в Карском море.</w:t>
      </w:r>
    </w:p>
    <w:p>
      <w:pPr>
        <w:spacing w:before="0" w:after="40"/>
      </w:pPr>
      <w:r>
        <w:rPr>
          <w:color w:val="6B7280"/>
          <w:sz w:val="20"/>
        </w:rPr>
        <w:t>[Перелистнуть → Слайд 12 — Порт Сабетта]</w:t>
      </w:r>
    </w:p>
    <w:p>
      <w:pPr>
        <w:spacing w:before="240" w:after="40"/>
      </w:pPr>
      <w:r>
        <w:rPr>
          <w:b/>
          <w:color w:val="1E40AF"/>
          <w:sz w:val="24"/>
        </w:rPr>
        <w:t>СЛАЙД 12. ПОРТ САБЕТТА</w:t>
      </w:r>
      <w:r>
        <w:rPr>
          <w:i/>
          <w:color w:val="6B7280"/>
          <w:sz w:val="20"/>
        </w:rPr>
        <w:t xml:space="preserve">  [~18 сек]</w:t>
      </w:r>
    </w:p>
    <w:p>
      <w:pPr>
        <w:spacing w:after="80"/>
        <w:ind w:firstLine="567"/>
        <w:jc w:val="both"/>
      </w:pPr>
      <w:r>
        <w:t>Порт Сабетта, Карское море — самая сложная акватория. Здесь молодой жировой и ниласовый лёд, припай — это редкие типы льда, которых почти не было в обучающих данных. Поэтому здесь точность ниже — ноль целых семьдесят шесть. На снимке видно, где модель работает уверенно, а где возникают сложности.</w:t>
      </w:r>
    </w:p>
    <w:p>
      <w:pPr>
        <w:spacing w:before="80" w:after="40"/>
        <w:ind w:firstLine="567"/>
        <w:jc w:val="both"/>
      </w:pPr>
      <w:r>
        <w:rPr>
          <w:i/>
          <w:color w:val="B5331F"/>
          <w:sz w:val="26"/>
        </w:rPr>
        <w:t>Перейду к итогам работы.</w:t>
      </w:r>
    </w:p>
    <w:p>
      <w:pPr>
        <w:spacing w:before="0" w:after="40"/>
      </w:pPr>
      <w:r>
        <w:rPr>
          <w:color w:val="6B7280"/>
          <w:sz w:val="20"/>
        </w:rPr>
        <w:t>[Перелистнуть → Слайд 13 — Заключение]</w:t>
      </w:r>
    </w:p>
    <w:p>
      <w:pPr>
        <w:spacing w:before="240" w:after="40"/>
      </w:pPr>
      <w:r>
        <w:rPr>
          <w:b/>
          <w:color w:val="1E40AF"/>
          <w:sz w:val="24"/>
        </w:rPr>
        <w:t>СЛАЙД 13. ЗАКЛЮЧЕНИЕ</w:t>
      </w:r>
      <w:r>
        <w:rPr>
          <w:i/>
          <w:color w:val="6B7280"/>
          <w:sz w:val="20"/>
        </w:rPr>
        <w:t xml:space="preserve">  [~45 сек]</w:t>
      </w:r>
    </w:p>
    <w:p>
      <w:pPr>
        <w:spacing w:after="80"/>
        <w:ind w:firstLine="567"/>
        <w:jc w:val="both"/>
      </w:pPr>
      <w:r>
        <w:t>Подведу итог. Цель работы достигнута: точность обнаружения нефти — ноль целых восемьдесят девять при требуемых ноль целых восемьдесят пять. Все четыре задачи решены: разобраны недостатки существующих методов и обоснован выбор модели; собран и размечен датасет; создан программа-прототип, обрабатывающий снимок за минуту; и на реальных данных доказано, что модель точнее аналогов и переносима на другие арктические порты.</w:t>
      </w:r>
    </w:p>
    <w:p>
      <w:pPr>
        <w:spacing w:after="80"/>
        <w:ind w:firstLine="567"/>
        <w:jc w:val="both"/>
      </w:pPr>
      <w:r>
        <w:t>Практическая значимость в том, что прототип можно применять для экологического мониторинга арктических портов — в интересах Росприроднадзора, МЧС России, Морспасслужбы и контроля Северного морского пути.</w:t>
      </w:r>
    </w:p>
    <w:p>
      <w:pPr>
        <w:spacing w:before="80" w:after="40"/>
        <w:ind w:firstLine="567"/>
        <w:jc w:val="both"/>
      </w:pPr>
      <w:r>
        <w:rPr>
          <w:i/>
          <w:color w:val="B5331F"/>
          <w:sz w:val="26"/>
        </w:rPr>
        <w:t>На этом мой доклад завершён.</w:t>
      </w:r>
    </w:p>
    <w:p>
      <w:pPr>
        <w:spacing w:before="0" w:after="40"/>
      </w:pPr>
      <w:r>
        <w:rPr>
          <w:color w:val="6B7280"/>
          <w:sz w:val="20"/>
        </w:rPr>
        <w:t>[Перелистнуть → Последний слайд — Спасибо]</w:t>
      </w:r>
    </w:p>
    <w:p>
      <w:pPr>
        <w:spacing w:before="240" w:after="40"/>
      </w:pPr>
      <w:r>
        <w:rPr>
          <w:b/>
          <w:color w:val="1E40AF"/>
          <w:sz w:val="24"/>
        </w:rPr>
        <w:t>СЛАЙД 14. СПАСИБО ЗА ВНИМАНИЕ</w:t>
      </w:r>
      <w:r>
        <w:rPr>
          <w:i/>
          <w:color w:val="6B7280"/>
          <w:sz w:val="20"/>
        </w:rPr>
        <w:t xml:space="preserve">  [~10 сек]</w:t>
      </w:r>
    </w:p>
    <w:p>
      <w:pPr>
        <w:spacing w:after="80"/>
        <w:ind w:firstLine="567"/>
        <w:jc w:val="both"/>
      </w:pPr>
      <w:r>
        <w:t>Доклад окончен. Благодарю за внимание и готов ответить на ваши вопросы.</w:t>
      </w:r>
    </w:p>
    <w:p>
      <w:pPr>
        <w:spacing w:before="280"/>
      </w:pPr>
      <w:r>
        <w:rPr>
          <w:b/>
          <w:color w:val="1E40AF"/>
          <w:sz w:val="26"/>
        </w:rPr>
        <w:t>ХРОНОМЕТРАЖ И СОВЕТЫ</w:t>
      </w:r>
    </w:p>
    <w:p>
      <w:pPr>
        <w:spacing w:after="20"/>
      </w:pPr>
      <w:r>
        <w:rPr>
          <w:b/>
          <w:sz w:val="24"/>
        </w:rPr>
        <w:t xml:space="preserve">Слайд 1  (Титул): </w:t>
      </w:r>
      <w:r>
        <w:rPr>
          <w:sz w:val="24"/>
        </w:rPr>
        <w:t>~20 сек</w:t>
      </w:r>
    </w:p>
    <w:p>
      <w:pPr>
        <w:spacing w:after="20"/>
      </w:pPr>
      <w:r>
        <w:rPr>
          <w:b/>
          <w:sz w:val="24"/>
        </w:rPr>
        <w:t xml:space="preserve">Слайд 2  (Актуальность): </w:t>
      </w:r>
      <w:r>
        <w:rPr>
          <w:sz w:val="24"/>
        </w:rPr>
        <w:t>~60 сек</w:t>
      </w:r>
    </w:p>
    <w:p>
      <w:pPr>
        <w:spacing w:after="20"/>
      </w:pPr>
      <w:r>
        <w:rPr>
          <w:b/>
          <w:sz w:val="24"/>
        </w:rPr>
        <w:t xml:space="preserve">Слайд 3  (Цель): </w:t>
      </w:r>
      <w:r>
        <w:rPr>
          <w:sz w:val="24"/>
        </w:rPr>
        <w:t>~35 сек</w:t>
      </w:r>
    </w:p>
    <w:p>
      <w:pPr>
        <w:spacing w:after="20"/>
      </w:pPr>
      <w:r>
        <w:rPr>
          <w:b/>
          <w:sz w:val="24"/>
        </w:rPr>
        <w:t xml:space="preserve">Слайд 4  (Методы): </w:t>
      </w:r>
      <w:r>
        <w:rPr>
          <w:sz w:val="24"/>
        </w:rPr>
        <w:t>~35 сек</w:t>
      </w:r>
    </w:p>
    <w:p>
      <w:pPr>
        <w:spacing w:after="20"/>
      </w:pPr>
      <w:r>
        <w:rPr>
          <w:b/>
          <w:sz w:val="24"/>
        </w:rPr>
        <w:t xml:space="preserve">Слайд 5  (Конвейер): </w:t>
      </w:r>
      <w:r>
        <w:rPr>
          <w:sz w:val="24"/>
        </w:rPr>
        <w:t>~30 сек</w:t>
      </w:r>
    </w:p>
    <w:p>
      <w:pPr>
        <w:spacing w:after="20"/>
      </w:pPr>
      <w:r>
        <w:rPr>
          <w:b/>
          <w:sz w:val="24"/>
        </w:rPr>
        <w:t xml:space="preserve">Слайд 6  (Датасет): </w:t>
      </w:r>
      <w:r>
        <w:rPr>
          <w:sz w:val="24"/>
        </w:rPr>
        <w:t>~45 сек</w:t>
      </w:r>
    </w:p>
    <w:p>
      <w:pPr>
        <w:spacing w:after="20"/>
      </w:pPr>
      <w:r>
        <w:rPr>
          <w:b/>
          <w:sz w:val="24"/>
        </w:rPr>
        <w:t xml:space="preserve">Слайд 7  (Результаты): </w:t>
      </w:r>
      <w:r>
        <w:rPr>
          <w:sz w:val="24"/>
        </w:rPr>
        <w:t>~40 сек</w:t>
      </w:r>
    </w:p>
    <w:p>
      <w:pPr>
        <w:spacing w:after="20"/>
      </w:pPr>
      <w:r>
        <w:rPr>
          <w:b/>
          <w:sz w:val="24"/>
        </w:rPr>
        <w:t xml:space="preserve">Слайд 8  (Сравнение): </w:t>
      </w:r>
      <w:r>
        <w:rPr>
          <w:sz w:val="24"/>
        </w:rPr>
        <w:t>~30 сек</w:t>
      </w:r>
    </w:p>
    <w:p>
      <w:pPr>
        <w:spacing w:after="20"/>
      </w:pPr>
      <w:r>
        <w:rPr>
          <w:b/>
          <w:sz w:val="24"/>
        </w:rPr>
        <w:t xml:space="preserve">Слайд 9  (Переносимость): </w:t>
      </w:r>
      <w:r>
        <w:rPr>
          <w:sz w:val="24"/>
        </w:rPr>
        <w:t>~35 сек</w:t>
      </w:r>
    </w:p>
    <w:p>
      <w:pPr>
        <w:spacing w:after="20"/>
      </w:pPr>
      <w:r>
        <w:rPr>
          <w:b/>
          <w:sz w:val="24"/>
        </w:rPr>
        <w:t xml:space="preserve">Слайд 10 (Печенга): </w:t>
      </w:r>
      <w:r>
        <w:rPr>
          <w:sz w:val="24"/>
        </w:rPr>
        <w:t>~18 сек</w:t>
      </w:r>
    </w:p>
    <w:p>
      <w:pPr>
        <w:spacing w:after="20"/>
      </w:pPr>
      <w:r>
        <w:rPr>
          <w:b/>
          <w:sz w:val="24"/>
        </w:rPr>
        <w:t xml:space="preserve">Слайд 11 (Варандей): </w:t>
      </w:r>
      <w:r>
        <w:rPr>
          <w:sz w:val="24"/>
        </w:rPr>
        <w:t>~18 сек</w:t>
      </w:r>
    </w:p>
    <w:p>
      <w:pPr>
        <w:spacing w:after="20"/>
      </w:pPr>
      <w:r>
        <w:rPr>
          <w:b/>
          <w:sz w:val="24"/>
        </w:rPr>
        <w:t xml:space="preserve">Слайд 12 (Сабетта): </w:t>
      </w:r>
      <w:r>
        <w:rPr>
          <w:sz w:val="24"/>
        </w:rPr>
        <w:t>~18 сек</w:t>
      </w:r>
    </w:p>
    <w:p>
      <w:pPr>
        <w:spacing w:after="20"/>
      </w:pPr>
      <w:r>
        <w:rPr>
          <w:b/>
          <w:sz w:val="24"/>
        </w:rPr>
        <w:t xml:space="preserve">Слайд 13 (Заключение): </w:t>
      </w:r>
      <w:r>
        <w:rPr>
          <w:sz w:val="24"/>
        </w:rPr>
        <w:t>~45 сек</w:t>
      </w:r>
    </w:p>
    <w:p>
      <w:pPr>
        <w:spacing w:after="20"/>
      </w:pPr>
      <w:r>
        <w:rPr>
          <w:b/>
          <w:sz w:val="24"/>
        </w:rPr>
        <w:t xml:space="preserve">Спасибо: </w:t>
      </w:r>
      <w:r>
        <w:rPr>
          <w:sz w:val="24"/>
        </w:rPr>
        <w:t>~10 сек</w:t>
      </w:r>
    </w:p>
    <w:p>
      <w:pPr>
        <w:spacing w:after="20"/>
      </w:pPr>
      <w:r>
        <w:rPr>
          <w:b/>
          <w:sz w:val="24"/>
        </w:rPr>
        <w:t xml:space="preserve">ИТОГО: </w:t>
      </w:r>
      <w:r>
        <w:rPr>
          <w:sz w:val="24"/>
        </w:rPr>
        <w:t>~7 мин 40 сек  (запас ~2 мин 20 сек)</w:t>
      </w:r>
    </w:p>
    <w:p/>
    <w:p>
      <w:pPr>
        <w:pStyle w:val="ListBullet"/>
        <w:spacing w:after="60"/>
      </w:pPr>
      <w:r>
        <w:t>Красные фразы-связки проговаривают вслух — это плавный переход к следующему слайду; серая пометка [Перелистнуть → …] — момент переключить слайд. Темп 110–120 слов/мин.</w:t>
      </w:r>
    </w:p>
    <w:p>
      <w:pPr>
        <w:pStyle w:val="ListBullet"/>
        <w:spacing w:after="60"/>
      </w:pPr>
      <w:r>
        <w:t>Если выбиваетесь из времени: сократите второй абзац слайда 2 или первый абзац слайда 6.</w:t>
      </w:r>
    </w:p>
    <w:p>
      <w:pPr>
        <w:pStyle w:val="ListBullet"/>
        <w:spacing w:after="60"/>
      </w:pPr>
      <w:r>
        <w:t>Слайды 14–17 (резервные В.1–В.4) — открывать только при вопросах комиссии.</w:t>
      </w:r>
    </w:p>
    <w:p>
      <w:pPr>
        <w:pStyle w:val="ListBullet"/>
        <w:spacing w:after="60"/>
      </w:pPr>
      <w:r>
        <w:t>Слайд В.4 (Ответы на замечания) — ждите вопрос про VH-канал и про Сабетту.</w:t>
      </w:r>
    </w:p>
    <w:p>
      <w:pPr>
        <w:pStyle w:val="ListBullet"/>
        <w:spacing w:after="60"/>
      </w:pPr>
      <w:r>
        <w:t>Ключевые числа: F1 = 0,89 (нефть), mIoU = 0,82, Acc = 95,8 %, 65 сек/сцена.</w:t>
      </w:r>
    </w:p>
    <w:p>
      <w:pPr>
        <w:pStyle w:val="ListBullet"/>
        <w:spacing w:after="60"/>
      </w:pPr>
      <w:r>
        <w:t>Дата разлива в Кольском заливе: 11 сентября 2024 г. (ВКР стр. 5, сноска 3).</w:t>
      </w:r>
    </w:p>
    <w:sectPr w:rsidR="00FC693F" w:rsidRPr="0006063C" w:rsidSect="00034616">
      <w:pgSz w:w="12240" w:h="15840"/>
      <w:pgMar w:top="1134" w:right="850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</w:pPr>
    <w:rPr>
      <w:rFonts w:ascii="Times New Roman" w:hAnsi="Times New Roman" w:eastAsia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