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Текст выступления к защите ВКР</w:t>
        <w:br/>
        <w:t>(регламент ~10 минут)</w:t>
      </w:r>
    </w:p>
    <w:p>
      <w:pPr>
        <w:spacing w:before="200" w:after="40"/>
      </w:pPr>
      <w:r>
        <w:rPr>
          <w:b/>
          <w:sz w:val="26"/>
        </w:rPr>
        <w:t>Слайд 1. Титул</w:t>
      </w:r>
    </w:p>
    <w:p>
      <w:pPr>
        <w:spacing w:after="80"/>
        <w:ind w:firstLine="567"/>
        <w:jc w:val="both"/>
      </w:pPr>
      <w:r>
        <w:t>Уважаемый председатель, уважаемые члены государственной экзаменационной комиссии! Вашему вниманию представляется выпускная квалификационная работа на тему «Разработка системы автоматического детектирования нефтяных разливов в акваториях арктических портов по данным спутниковой радиолокационной съёмки». Работа выполнена под научным руководством кандидата технических наук, доцента Митько Арсения Валерьевича.</w:t>
      </w:r>
    </w:p>
    <w:p>
      <w:pPr>
        <w:spacing w:before="200" w:after="40"/>
      </w:pPr>
      <w:r>
        <w:rPr>
          <w:b/>
          <w:sz w:val="26"/>
        </w:rPr>
        <w:t>Слайд 2. Актуальность и проблема</w:t>
      </w:r>
    </w:p>
    <w:p>
      <w:pPr>
        <w:spacing w:after="80"/>
        <w:ind w:firstLine="567"/>
        <w:jc w:val="both"/>
      </w:pPr>
      <w:r>
        <w:t>Загрязнение нефтью остаётся одной из главных угроз экосистемам Арктики. Ежегодно в Мировой океан попадает более семисот тысяч тонн углеводородов, и доля Арктики устойчиво растёт из-за развития судоходства по Северному морскому пути и расширения шельфовой инфраструктуры. При этом в арктических условиях нефть разлагается в пять–десять раз медленнее, что приводит к долговременному загрязнению.</w:t>
      </w:r>
    </w:p>
    <w:p>
      <w:pPr>
        <w:spacing w:after="80"/>
        <w:ind w:firstLine="567"/>
        <w:jc w:val="both"/>
      </w:pPr>
      <w:r>
        <w:t>Более восьмидесяти процентов времени над арктическими портами держится облачность и полярная ночь, поэтому оптические спутники здесь почти бесполезны. Всепогодным и круглосуточным инструментом служит радиолокационная съёмка Sentinel-1. Однако у радара есть принципиальная проблема: начальные формы льда, биогенные плёнки и зоны штиля создают на снимках тёмные пятна, неотличимые от нефти по простой яркости. Доля ложных срабатываний у классических методов достигает семидесяти процентов. Масштаб проблемы подтверждают инциденты в Норильске, Кольском заливе и бухте Тикси.</w:t>
      </w:r>
    </w:p>
    <w:p>
      <w:pPr>
        <w:spacing w:before="200" w:after="40"/>
      </w:pPr>
      <w:r>
        <w:rPr>
          <w:b/>
          <w:sz w:val="26"/>
        </w:rPr>
        <w:t>Слайд 3. Цель и задачи</w:t>
      </w:r>
    </w:p>
    <w:p>
      <w:pPr>
        <w:spacing w:after="80"/>
        <w:ind w:firstLine="567"/>
        <w:jc w:val="both"/>
      </w:pPr>
      <w:r>
        <w:t>Целью работы является автоматизация процесса детектирования нефтяных разливов в акваториях арктических портов по данным Sentinel-1 за счёт разработки нейросетевой трёхклассовой модели семантической сегментации, обеспечивающей значение F1-меры для класса «нефть» не ниже ноль целых восьмидесяти пяти сотых.</w:t>
      </w:r>
    </w:p>
    <w:p>
      <w:pPr>
        <w:spacing w:after="80"/>
        <w:ind w:firstLine="567"/>
        <w:jc w:val="both"/>
      </w:pPr>
      <w:r>
        <w:t>Обращаю внимание: по рекомендации комиссии цель сформулирована именно как автоматизация процесса, а не создание системы. Для достижения цели поставлены четыре задачи: выявить ограничения существующих методов и обосновать выбор архитектуры; разработать методику формирования датасета и обучить модель; реализовать программный прототип; и провести экспериментальную оценку с сравнительным анализом.</w:t>
      </w:r>
    </w:p>
    <w:p>
      <w:pPr>
        <w:spacing w:before="200" w:after="40"/>
      </w:pPr>
      <w:r>
        <w:rPr>
          <w:b/>
          <w:sz w:val="26"/>
        </w:rPr>
        <w:t>Слайд 4. Научная новизна</w:t>
      </w:r>
    </w:p>
    <w:p>
      <w:pPr>
        <w:spacing w:after="80"/>
        <w:ind w:firstLine="567"/>
        <w:jc w:val="both"/>
      </w:pPr>
      <w:r>
        <w:t>Ключевая идея и научная новизна работы — переход от бинарной схемы «нефть — фон», которая используется практически во всех существующих публикациях, к трёхклассовой схеме: вода, нефть и отдельный класс «лёд плюс суша». Вынося начальные формы льда в самостоятельный класс, мы напрямую боремся с главным источником ложных тревог в Арктике.</w:t>
      </w:r>
    </w:p>
    <w:p>
      <w:pPr>
        <w:spacing w:after="80"/>
        <w:ind w:firstLine="567"/>
        <w:jc w:val="both"/>
      </w:pPr>
      <w:r>
        <w:t>Кроме того, разработана методика формирования арктического подмножества данных: полигональная разметка снимков Кольского залива в QGIS с привлечением метеорологических данных реанализа ERA5 и навигационных данных AIS. Наконец, архитектура DeepLabV3+ с энкодером ResNet-50 и блоками внимания scSE адаптирована к одноканальным радиолокационным данным, а дисбаланс классов устранён комбинированной функцией потерь Dice-BCE с весами классов.</w:t>
      </w:r>
    </w:p>
    <w:p>
      <w:pPr>
        <w:spacing w:before="200" w:after="40"/>
      </w:pPr>
      <w:r>
        <w:rPr>
          <w:b/>
          <w:sz w:val="26"/>
        </w:rPr>
        <w:t>Слайд 5. Архитектура решения</w:t>
      </w:r>
    </w:p>
    <w:p>
      <w:pPr>
        <w:spacing w:after="80"/>
        <w:ind w:firstLine="567"/>
        <w:jc w:val="both"/>
      </w:pPr>
      <w:r>
        <w:t>Система реализована как трёхэтапный модульный конвейер. Первый этап — предобработка в среде ESA SNAP: шесть последовательных шагов, включая коррекцию орбиты, удаление теплового шума, радиометрическую калибровку, фильтрацию спекл-шума фильтром Ли семь на семь, геометрическую коррекцию и перевод в децибельную шкалу.</w:t>
      </w:r>
    </w:p>
    <w:p>
      <w:pPr>
        <w:spacing w:after="80"/>
        <w:ind w:firstLine="567"/>
        <w:jc w:val="both"/>
      </w:pPr>
      <w:r>
        <w:t>Второй этап — нейросетевая сегментация на три класса. Третий — верификация обнаруженных аномалий по морфологии пятна и пространственному контексту. Обработка одной радиолокационной сцены занимает шестьдесят пять секунд. Всё решение написано на Python с использованием PyTorch и выполняется на видеокарте NVIDIA RTX 3090.</w:t>
      </w:r>
    </w:p>
    <w:p>
      <w:pPr>
        <w:spacing w:before="200" w:after="40"/>
      </w:pPr>
      <w:r>
        <w:rPr>
          <w:b/>
          <w:sz w:val="26"/>
        </w:rPr>
        <w:t>Слайд 6. Датасет и обучение</w:t>
      </w:r>
    </w:p>
    <w:p>
      <w:pPr>
        <w:spacing w:after="80"/>
        <w:ind w:firstLine="567"/>
        <w:jc w:val="both"/>
      </w:pPr>
      <w:r>
        <w:t>Обучающий датасет объединяет тысячу сто двадцать пять размеченных сцен: тысяча сто двенадцать из открытого набора MKLab Krestenitis и тринадцать собственных сцен Кольского залива, размеченных мной вручную. После нарезки на фрагменты двести пятьдесят шесть на двести пятьдесят шесть пикселей получено четыре тысячи сто двадцать восемь тайлов, разделённых на обучающую, валидационную и тестовую выборки в пропорции семьдесят, двадцать, десять на уровне сцен.</w:t>
      </w:r>
    </w:p>
    <w:p>
      <w:pPr>
        <w:spacing w:after="80"/>
        <w:ind w:firstLine="567"/>
        <w:jc w:val="both"/>
      </w:pPr>
      <w:r>
        <w:t>Главная сложность обучения — сильный дисбаланс: пиксели нефти составляют менее одного процента. Эта проблема решена назначением классам весов в функции потерь — вес класса «нефть» повышен до девяти целых восьми десятых. Графики справа показывают распределение классов и сходимость обучения.</w:t>
      </w:r>
    </w:p>
    <w:p>
      <w:pPr>
        <w:spacing w:before="200" w:after="40"/>
      </w:pPr>
      <w:r>
        <w:rPr>
          <w:b/>
          <w:sz w:val="26"/>
        </w:rPr>
        <w:t>Слайд 7. Результаты</w:t>
      </w:r>
    </w:p>
    <w:p>
      <w:pPr>
        <w:spacing w:after="80"/>
        <w:ind w:firstLine="567"/>
        <w:jc w:val="both"/>
      </w:pPr>
      <w:r>
        <w:t>На отложенной тестовой выборке Кольского залива из четырёхсот двенадцати тайлов модель достигла F1-меры ноль целых восемьдесят девять сотых для класса «нефть», среднего mIoU ноль целых восемьдесят две сотых и общей точности девяносто пять и восемь десятых процента. Таким образом, целевой критерий ноль целых восемьдесят пять сотых выполнен.</w:t>
      </w:r>
    </w:p>
    <w:p>
      <w:pPr>
        <w:spacing w:after="80"/>
        <w:ind w:firstLine="567"/>
        <w:jc w:val="both"/>
      </w:pPr>
      <w:r>
        <w:t>Анализ матрицы ошибок показал, что основной тип ошибки — отнесение восьми и четырёх десятых процента пикселей нефти к классу «лёд плюс суша»; это объясняется физически схожими тёмными сигнатурами. По сравнению с пороговым методом Оцу прирост F1-меры составил ноль целых восемнадцать сотых, и наша модель превзошла все четыре альтернативных метода по всем метрикам.</w:t>
      </w:r>
    </w:p>
    <w:p>
      <w:pPr>
        <w:spacing w:before="200" w:after="40"/>
      </w:pPr>
      <w:r>
        <w:rPr>
          <w:b/>
          <w:sz w:val="26"/>
        </w:rPr>
        <w:t>Слайд 8. Переносимость и ложные цели</w:t>
      </w:r>
    </w:p>
    <w:p>
      <w:pPr>
        <w:spacing w:after="80"/>
        <w:ind w:firstLine="567"/>
        <w:jc w:val="both"/>
      </w:pPr>
      <w:r>
        <w:t>Для проверки переносимости методика испытана на акваториях ещё двух арктических портов. Наблюдается закономерное снижение качества при удалении от региона обучения: Кольский залив — ноль целых восемьдесят девять, Варандей — ноль целых восемьдесят четыре, Сабетта — ноль целых семьдесят шесть.</w:t>
      </w:r>
    </w:p>
    <w:p>
      <w:pPr>
        <w:spacing w:after="80"/>
        <w:ind w:firstLine="567"/>
        <w:jc w:val="both"/>
      </w:pPr>
      <w:r>
        <w:t>Качественный анализ выявил разные типы ложных целей: в Печенге это безлёдный тип — ветровые тени и биоплёнки; в Варандее — сезонный первогодний лёд; в Сабетте, самой сложной акватории, — жировой и ниласовый лёд и припай. Вывод: методика принципиально применима, но для тяжёлых ледовых акваторий требуется целевое дообучение.</w:t>
      </w:r>
    </w:p>
    <w:p>
      <w:pPr>
        <w:spacing w:before="200" w:after="40"/>
      </w:pPr>
      <w:r>
        <w:rPr>
          <w:b/>
          <w:sz w:val="26"/>
        </w:rPr>
        <w:t>Слайд 9. Заключение</w:t>
      </w:r>
    </w:p>
    <w:p>
      <w:pPr>
        <w:spacing w:after="80"/>
        <w:ind w:firstLine="567"/>
        <w:jc w:val="both"/>
      </w:pPr>
      <w:r>
        <w:t>Подведу итог. Поставленная цель достигнута: критерий F1 не ниже ноль целых восемьдесят пять сотых выполнен с результатом ноль целых восемьдесят девять. Решены все четыре задачи: систематизированы ограничения существующих методов и обоснован выбор архитектуры; создан комбинированный датасет с оригинальной трёхклассовой разметкой; реализован программный прототип-конвейер, код опубликован в открытом доступе; экспериментально подтверждено превосходство над пороговыми и классическими методами.</w:t>
      </w:r>
    </w:p>
    <w:p>
      <w:pPr>
        <w:spacing w:after="80"/>
        <w:ind w:firstLine="567"/>
        <w:jc w:val="both"/>
      </w:pPr>
      <w:r>
        <w:t>Практическая значимость состоит в применимости решения в системах экологического мониторинга арктических портов — в интересах Росприроднадзора, МЧС, «Морспасслужбы» и мониторинга Северного морского пути.</w:t>
      </w:r>
    </w:p>
    <w:p>
      <w:pPr>
        <w:spacing w:before="200" w:after="40"/>
      </w:pPr>
      <w:r>
        <w:rPr>
          <w:b/>
          <w:sz w:val="26"/>
        </w:rPr>
        <w:t>Слайд 10. Завершение</w:t>
      </w:r>
    </w:p>
    <w:p>
      <w:pPr>
        <w:spacing w:after="80"/>
        <w:ind w:firstLine="567"/>
        <w:jc w:val="both"/>
      </w:pPr>
      <w:r>
        <w:t>Доклад окончен. Благодарю за внимание и готов ответить на ваши вопросы.</w:t>
      </w:r>
    </w:p>
    <w:p>
      <w:pPr>
        <w:spacing w:before="200" w:after="40"/>
      </w:pPr>
      <w:r>
        <w:rPr>
          <w:b/>
          <w:sz w:val="26"/>
        </w:rPr>
        <w:t>Ориентировочный хронометраж</w:t>
      </w:r>
    </w:p>
    <w:p>
      <w:pPr>
        <w:pStyle w:val="ListBullet"/>
        <w:spacing w:after="40"/>
      </w:pPr>
      <w:r>
        <w:t>Слайды 1, 3 — по ~0,5 мин</w:t>
      </w:r>
    </w:p>
    <w:p>
      <w:pPr>
        <w:pStyle w:val="ListBullet"/>
        <w:spacing w:after="40"/>
      </w:pPr>
      <w:r>
        <w:t>Слайды 2, 4, 5, 6, 7, 8, 9 — по ~1–1,3 мин</w:t>
      </w:r>
    </w:p>
    <w:p>
      <w:pPr>
        <w:pStyle w:val="ListBullet"/>
        <w:spacing w:after="40"/>
      </w:pPr>
      <w:r>
        <w:t>Слайд 10 — 10 секунд</w:t>
      </w:r>
    </w:p>
    <w:p>
      <w:pPr>
        <w:pStyle w:val="ListBullet"/>
        <w:spacing w:after="40"/>
      </w:pPr>
      <w:r>
        <w:t>ИТОГО: ~9,5–10 минут в спокойном темпе</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