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того, почему эта задача важна именно сейчас.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2 — Актуальность]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[~60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Но у радиолокации есть принципиальное ограничение. На радарном снимке нефтяная плёнка выглядит как тёмное пятно — однако точно такие же тёмные пятна дают молодой лёд, биогенные плёнки и зоны штиля. Из-за этих ложных целей классические пороговые методы дают до семидесяти процентов ложных срабатываний. Наглядный пример — внизу слайда: разлив мазута при бункеровке танкера в Кольском заливе одиннадцатого сентября две тысячи двадцать четвёртого года; этот случай и стал отправной точкой моей работы. Чтобы надёжно отличать нефть от её ледовых двойников, нужна не бинарная, а трёхклассовая нейросетевая модель — её разработке и посвящена работа.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Сформулированная проблема определила цель и задачи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3 — Цель и задачи]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Цель работы — автоматизация детектирования нефтяных разливов по данным Sentinel-1 за счёт разработки трёхклассовой нейросетевой модели семантической сегментации, адаптированной к условиям активного ледообразования и обеспечивающей F1-score для класса «нефть» не ниже ноль целых восьмидесяти пяти. Для достижения цели поставлены четыре задачи: выявить ограничения аналогов и обосновать архитектуру; разработать методику датасета и обучить модель; реализовать программный прототип; провести экспериментальную оценку.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обосновать выбор архитектуры, я сначала проанализировал существующие методы.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4 — Существующие методы]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В таблице систематизированы характерные подходы. Методы Оцу и U-Net Krestenitis, GLCM с CNN и адаптивный порог — все они бинарные и не выделяют лёд в отдельный класс. Именно это порождает до семидесяти процентов ложных тревог в арктических условиях. Наша работа, в нижней строке, — единственная, где сочетаются трёхклассовость, учёт ледовых ложных целей и работа с арктическими данными.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Опираясь на эти выводы, я построил собственный конвейер обработки данных.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5 — Конвейер обработки]</w:t>
      </w:r>
    </w:p>
    <w:p>
      <w:pPr>
        <w:spacing w:before="240" w:after="40"/>
      </w:pPr>
      <w:r>
        <w:rPr>
          <w:b/>
          <w:color w:val="1E40AF"/>
          <w:sz w:val="24"/>
        </w:rPr>
        <w:t>СЛАЙД 5. КОНВЕЙЕР ОБРАБОТКИ SAR-ДАННЫХ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Разработанная система реализована в виде трёхэтапного конвейера. Первый этап — предобработка в программном комплексе ESA SNAP: шесть шагов от уточнения орбиты до геометрической привязки к местности. Второй — нейросетевая сегментация на три класса с помощью DeepLabV3+. Третий — верификация обнаруженных аномалий по метеоданным реанализа ERA5 и навигационным данным AIS. Полный цикл занимает шестьдесят пять секунд на одну сцену Sentinel-1.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Сердце конвейера — нейросеть, а её качество определяется данными, на которых она обучена.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6 — Датасет и обучение]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6. ДАТАСЕТ И ОБУЧЕНИЕ</w:t>
      </w:r>
      <w:r>
        <w:rPr>
          <w:i/>
          <w:color w:val="6B7280"/>
          <w:sz w:val="20"/>
        </w:rPr>
        <w:t xml:space="preserve">  [~55 сек]</w:t>
      </w:r>
    </w:p>
    <w:p>
      <w:pPr>
        <w:spacing w:after="80"/>
        <w:ind w:firstLine="567"/>
        <w:jc w:val="both"/>
      </w:pPr>
      <w:r>
        <w:t>Датасет объединяет тысячу сто двадцать пять сцен: тысяча сто двенадцать из открытого набора MKLab Krestenitis, переразмеченных в трёхклассовую схему, и тринадцать собственных сцен Кольского залива, размеченных вручную. После нарезки с перекрытием пятьдесят процентов — четыре тысячи сто двадцать восемь тайлов, деление по сценам семьдесят, двадцать, десять.</w:t>
      </w:r>
    </w:p>
    <w:p>
      <w:pPr>
        <w:spacing w:after="80"/>
        <w:ind w:firstLine="567"/>
        <w:jc w:val="both"/>
      </w:pPr>
      <w:r>
        <w:t>Главная сложность — дисбаланс: пиксели нефти составляют лишь 2,4 процента. Решение — взвешенная функция потерь Dice-BCE, вес класса «нефть» повышен до 9,8. Обучение методом AdamW: сто эпох, лучшее mIoU ноль целых восемьдесят четыре достигнуто на семьдесят восьмой эпохе без переобучения.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посмотрим, какого качества удалось достичь.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7 — Результаты]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[~50 сек]</w:t>
      </w:r>
    </w:p>
    <w:p>
      <w:pPr>
        <w:spacing w:after="80"/>
        <w:ind w:firstLine="567"/>
        <w:jc w:val="both"/>
      </w:pPr>
      <w:r>
        <w:t>На отложенной тестовой выборке Кольского залива — 412 тайлов — модель достигла: F1-score для класса «нефть» — ноль целых восемьдесят девять (Precision 0,91, Recall 0,87); среднее mIoU — ноль целых восемьдесят два; общая точность — девяносто пять и восемь десятых процента. Целевой критерий ноль целых восемьдесят пять — выполнен.</w:t>
      </w:r>
    </w:p>
    <w:p>
      <w:pPr>
        <w:spacing w:after="80"/>
        <w:ind w:firstLine="567"/>
        <w:jc w:val="both"/>
      </w:pPr>
      <w:r>
        <w:t>Матрица ошибок показывает устойчивое распознавание: вода — 96,2 процента, лёд и суша — 96,0. Основная ошибка — 8,4 процента пикселей нефти уходят в класс «лёд плюс суша»: это физически предсказуемо, так как молодой лёд и нефть имеют схожие сигнатуры обратного рассеяния.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оценить эти результаты объективно, сравню их с известными аналогами.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8 — Сравнение]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Сравнение с четырьмя альтернативными методами показало превосходство DeepLabV3+ по всем метрикам. Лучший из аналогов — U-Net Krestenitis с F1 ноль целых восемьдесят шесть. Наша модель — ноль целых восемьдесят девять; прирост девять процентных пунктов относительно порогового метода. Выигрыш обеспечивается сочетанием внимания scSE и трёхклассовой схемы.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Закономерно встаёт вопрос — насколько модель переносима на другие порты.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9 — Переносимость]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Для оценки обобщаемости методика проверена на двух других портах без дообучения. На шести сценах Варандея F1 снизилась до 0,84, на пяти сценах Сабетты — до 0,76. Деградация закономерна: с удалением от Кольского залива растёт доля незнакомых ледовых типов. Вывод: методика принципиально применима, для тяжёлых ледовых условий нужно целевое дообучение.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Разберу конкретные ложные цели в каждом из портов — начну с Печенги.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10 — Порт Печенга]</w:t>
      </w:r>
    </w:p>
    <w:p>
      <w:pPr>
        <w:spacing w:before="240" w:after="40"/>
      </w:pPr>
      <w:r>
        <w:rPr>
          <w:b/>
          <w:color w:val="1E40AF"/>
          <w:sz w:val="24"/>
        </w:rPr>
        <w:t>СЛАЙД 10. ПОРТ ПЕЧЕНГА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Безлёдная акватория Баренцева моря. Главные ложные цели — ветровые тени при штиле и биогенные плёнки. На снимке видно, как модель правильно отделяет их от нефтяного пятна.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Переходим севернее — терминал Варандей, где главная сложность уже ледовая.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11 — Терминал Варандей]</w:t>
      </w:r>
    </w:p>
    <w:p>
      <w:pPr>
        <w:spacing w:before="240" w:after="40"/>
      </w:pPr>
      <w:r>
        <w:rPr>
          <w:b/>
          <w:color w:val="1E40AF"/>
          <w:sz w:val="24"/>
        </w:rPr>
        <w:t>СЛАЙД 11. ТЕРМИНАЛ ВАРАНДЕЙ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Печорское море, сезонный первогодний дрейфующий лёд. При бинарной классификации он неотличим от нефти. Трёхклассовая схема явно разделяет их.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самый трудный случай — порт Сабетта в Карском море.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12 — Порт Сабетта]</w:t>
      </w:r>
    </w:p>
    <w:p>
      <w:pPr>
        <w:spacing w:before="240" w:after="40"/>
      </w:pPr>
      <w:r>
        <w:rPr>
          <w:b/>
          <w:color w:val="1E40AF"/>
          <w:sz w:val="24"/>
        </w:rPr>
        <w:t>СЛАЙД 12. ПОРТ САБЕТТА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Самая сложная акватория: Обская губа Карского моря, жировой и ниласовый лёд, припай. Эти типы льда слабо представлены в обучении — отсюда снижение F1 до 0,76 при переносе без дообучения.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Перейду к итогам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13 — Заключение]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13. ЗАКЛЮЧЕНИЕ</w:t>
      </w:r>
      <w:r>
        <w:rPr>
          <w:i/>
          <w:color w:val="6B7280"/>
          <w:sz w:val="20"/>
        </w:rPr>
        <w:t xml:space="preserve">  [~50 сек]</w:t>
      </w:r>
    </w:p>
    <w:p>
      <w:pPr>
        <w:spacing w:after="80"/>
        <w:ind w:firstLine="567"/>
        <w:jc w:val="both"/>
      </w:pPr>
      <w:r>
        <w:t>Подведу итог. Поставленная цель достигнута: F1-score 0,89 при критерии не ниже 0,85. Решены все четыре задачи: систематизированы ограничения методов и обоснован выбор DeepLabV3+ со scSE; сформирован датасет из 1125 сцен с трёхклассовой разметкой; реализован прототип-конвейер обработки SAR-сцен; экспериментально подтверждено превосходство над аналогами и проверена переносимость на другие арктические акватории.</w:t>
      </w:r>
    </w:p>
    <w:p>
      <w:pPr>
        <w:spacing w:after="80"/>
        <w:ind w:firstLine="567"/>
        <w:jc w:val="both"/>
      </w:pPr>
      <w:r>
        <w:t>Практическая значимость: разработанный прототип применим в составе оперативных систем экологического мониторинга арктических портов — в интересах Росприроднадзора, МЧС России, «Морспасслужбы» и мониторинга Северного морского пути.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 этом мой доклад завершён.</w:t>
      </w:r>
    </w:p>
    <w:p>
      <w:pPr>
        <w:spacing w:before="0" w:after="40"/>
      </w:pPr>
      <w:r>
        <w:rPr>
          <w:color w:val="6B7280"/>
          <w:sz w:val="20"/>
        </w:rPr>
        <w:t>[Перелистнуть → Последний слайд — Спасибо]</w:t>
      </w:r>
    </w:p>
    <w:p>
      <w:pPr>
        <w:spacing w:before="240" w:after="40"/>
      </w:pPr>
      <w:r>
        <w:rPr>
          <w:b/>
          <w:color w:val="1E40AF"/>
          <w:sz w:val="24"/>
        </w:rPr>
        <w:t>СЛАЙД 14.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~60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5  (Конвейер):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6  (Датасет): </w:t>
      </w:r>
      <w:r>
        <w:rPr>
          <w:sz w:val="24"/>
        </w:rPr>
        <w:t>~55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~50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9  (Переносимость):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10 (Печенга):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11 (Варандей):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12 (Сабетта):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13 (Заключение): </w:t>
      </w:r>
      <w:r>
        <w:rPr>
          <w:sz w:val="24"/>
        </w:rPr>
        <w:t>~50 сек</w:t>
      </w:r>
    </w:p>
    <w:p>
      <w:pPr>
        <w:spacing w:after="20"/>
      </w:pPr>
      <w:r>
        <w:rPr>
          <w:b/>
          <w:sz w:val="24"/>
        </w:rPr>
        <w:t xml:space="preserve">Спасибо: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~8 мин 20 сек  (запас ~1 мин 40 сек)</w:t>
      </w:r>
    </w:p>
    <w:p/>
    <w:p>
      <w:pPr>
        <w:pStyle w:val="ListBullet"/>
        <w:spacing w:after="60"/>
      </w:pPr>
      <w:r>
        <w:t>Красные фразы-связки проговаривают вслух — это плавный переход к следующему слайду; серая пометка [Перелистнуть → …] — момент переключить слайд. Темп 110–120 слов/мин.</w:t>
      </w:r>
    </w:p>
    <w:p>
      <w:pPr>
        <w:pStyle w:val="ListBullet"/>
        <w:spacing w:after="60"/>
      </w:pPr>
      <w:r>
        <w:t>Если выбиваетесь из времени: сократите второй абзац слайда 2 или первый абзац слайда 6.</w:t>
      </w:r>
    </w:p>
    <w:p>
      <w:pPr>
        <w:pStyle w:val="ListBullet"/>
        <w:spacing w:after="60"/>
      </w:pPr>
      <w:r>
        <w:t>Слайды 14–17 (резервные В.1–В.4) — открывать только при вопросах комиссии.</w:t>
      </w:r>
    </w:p>
    <w:p>
      <w:pPr>
        <w:pStyle w:val="ListBullet"/>
        <w:spacing w:after="60"/>
      </w:pPr>
      <w:r>
        <w:t>Слайд В.4 (Ответы на замечания) — ждите вопрос про VH-канал и про Сабетту.</w:t>
      </w:r>
    </w:p>
    <w:p>
      <w:pPr>
        <w:pStyle w:val="ListBullet"/>
        <w:spacing w:after="60"/>
      </w:pPr>
      <w:r>
        <w:t>Ключевые числа: F1 = 0,89 (нефть), mIoU = 0,82, Acc = 95,8 %, 65 сек/сцена.</w:t>
      </w:r>
    </w:p>
    <w:p>
      <w:pPr>
        <w:pStyle w:val="ListBullet"/>
        <w:spacing w:after="60"/>
      </w:pPr>
      <w:r>
        <w:t>Дата разлива в Кольском заливе: 11 сентября 2024 г. (ВКР стр. 5, сноска 3).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