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DFD tổng quát tìm kiếm 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438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Ý nghĩa của từng dòng dữ liệu: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D1: Thông tin cần tìm kiếm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D2: Không có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D3: Không có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D4: Danh sách hóa đơn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D5: Không có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D6: Kết quả tìm kiếm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Thuật toán xử lý: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B1: Kết nối cơ sở dữ liệu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B2: Nhập thông tin hóa đơn cần tìm kiếm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B3: Hệ thống sẽ tải danh sách hóa đơn từ CSDL.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B4: Hệ thống sẽ tìm kiếm trong danh sách hóa đơn.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⦁Th1: Tìm thấy =&gt; xuất kết quả phù hợp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⦁Th2: Không tìm thấy =&gt; thông báo không tìm thấy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B5: Xuất kết quả ra màn hình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B6: Đóng kết nối cơ sở dữ liệu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DFD tổng quát hủy hóa đơn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19775" cy="3438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D1: Hóa đơn cần hủy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D2: Không có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D3: Trạng thái của hóa đơn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D4: Không có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D5: Không có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D6:  Thông báo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Thuật toán xử lý: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B1: Kết nối cơ sở dữ liệu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B2: Người dùng chọn hóa đơn cần hủy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B3: Thay đổi trạng thái của hóa đơn và cập nhật trong CSDL: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B4: Hiện thông báo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B5: Đóng kết nối cơ sở dữ liệu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DFD tổng quát thanh toán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438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D1: Tiền khách trả,thông tin khách hàng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D2: Không có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D3: Hóa đơn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D4: không có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D5: Hóa đơn thanh toán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D6: Thông báo,tiền thừa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Thuật toán xử lý: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B1: Nhấn nút thanh toán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B2: Hệ thống sẽ tính tiền tổng cộng khách phải trả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B3: Nhập tiền khách trả và thông tin khách hàng nếu là thành viên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B4: Hệ thống sẽ tính tiền giảm hóa đơn theo thành viên và tiền thừa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B5: Lập hóa đơn và lưu vào csdl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B6: Hiện thông báo và in hóa đơn thanh toán nêu khách cần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DFD tổng quát in hóa đơn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19775" cy="3438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Ý nghĩa từng dòng dữ liệu: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D1: Hóa đơn cần in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D2: Không có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D3: Không có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D4: Không có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D5:  Hóa đơn được in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D6: Thông báo in thành công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Thuật toán xử lý: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B1: Người dùng chọn hóa đơn cần in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B2: In phiếu nhập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B3: Xuất D6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