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05">
          <v:rect xmlns:o="urn:schemas-microsoft-com:office:office" xmlns:v="urn:schemas-microsoft-com:vml" id="rectole0000000000" style="width:432.000000pt;height:30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Tó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m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ă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Khi khách có nhu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ầu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mua hàng,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nhân viên bán hàng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tìm 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 hàng mà khách 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mua và thêm vào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hàng.Khi thanh toán,nhân viên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 hóa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Tiê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n: 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mua còn hàng trong kho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Dò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̣ 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chí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nh: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-Tìm ki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 ph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ẩ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m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n mua.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-Thêm vào gi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ỏ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 hàng.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-Tính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ổ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ng thành ti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-Ki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ể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m tra thành viên hay khách l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ẻ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-Tính t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ổ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ng c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ộ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ng ti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ề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n ph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i tr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D0D0D"/>
                <w:spacing w:val="0"/>
                <w:position w:val="0"/>
                <w:sz w:val="28"/>
                <w:shd w:fill="auto" w:val="clear"/>
              </w:rPr>
              <w:t xml:space="preserve">-Thanh toán.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Dò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̣ 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phụ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kho không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mua thì thông báo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kh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ông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ợp lệ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và quay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ề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ớc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-In hóa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thanh toán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 khách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n.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-Xóa hóa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ã thanh toán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n.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Hâ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ê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̀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kiệ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n: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Hê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̣ thố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̉ trạ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thá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sà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tiế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nhậ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 yêu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cầ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2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