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0198698" w:displacedByCustomXml="next"/>
    <w:sdt>
      <w:sdtPr>
        <w:id w:val="201056757"/>
        <w:docPartObj>
          <w:docPartGallery w:val="Cover Pages"/>
          <w:docPartUnique/>
        </w:docPartObj>
      </w:sdtPr>
      <w:sdtEndPr>
        <w:rPr>
          <w:rFonts w:ascii="Times New Roman" w:eastAsia="黑体" w:hAnsi="Times New Roman" w:cs="Times New Roman"/>
          <w:b/>
          <w:bCs/>
          <w:color w:val="000000" w:themeColor="text1"/>
          <w:kern w:val="44"/>
          <w:sz w:val="28"/>
          <w:szCs w:val="44"/>
        </w:rPr>
      </w:sdtEndPr>
      <w:sdtContent>
        <w:p w:rsidR="002A1DA8" w:rsidRDefault="002A1DA8"/>
        <w:p w:rsidR="002A1DA8" w:rsidRDefault="002A1DA8">
          <w:pPr>
            <w:widowControl/>
            <w:jc w:val="left"/>
            <w:rPr>
              <w:rFonts w:ascii="Times New Roman" w:eastAsia="黑体" w:hAnsi="Times New Roman" w:cs="Times New Roman"/>
              <w:b/>
              <w:bCs/>
              <w:color w:val="000000" w:themeColor="text1"/>
              <w:kern w:val="44"/>
              <w:sz w:val="28"/>
              <w:szCs w:val="44"/>
            </w:rPr>
          </w:pPr>
          <w:r>
            <w:rPr>
              <w:noProof/>
            </w:rPr>
            <mc:AlternateContent>
              <mc:Choice Requires="wpg">
                <w:drawing>
                  <wp:anchor distT="0" distB="0" distL="114300" distR="114300" simplePos="0" relativeHeight="25166233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12DF6" w:rsidRPr="002A1DA8" w:rsidRDefault="00E12DF6" w:rsidP="002A1DA8">
                                  <w:pPr>
                                    <w:jc w:val="center"/>
                                    <w:rPr>
                                      <w:rFonts w:ascii="华文仿宋" w:eastAsia="华文仿宋" w:hAnsi="华文仿宋"/>
                                      <w:b/>
                                      <w:color w:val="FFFFFF" w:themeColor="background1"/>
                                      <w:sz w:val="72"/>
                                      <w:szCs w:val="72"/>
                                    </w:rPr>
                                  </w:pPr>
                                  <w:sdt>
                                    <w:sdtPr>
                                      <w:rPr>
                                        <w:rFonts w:ascii="华文仿宋" w:eastAsia="华文仿宋" w:hAnsi="华文仿宋"/>
                                        <w:b/>
                                        <w:color w:val="FFFFFF" w:themeColor="background1"/>
                                        <w:sz w:val="56"/>
                                        <w:szCs w:val="72"/>
                                      </w:rPr>
                                      <w:alias w:val="标题"/>
                                      <w:tag w:val=""/>
                                      <w:id w:val="-493185877"/>
                                      <w:dataBinding w:prefixMappings="xmlns:ns0='http://purl.org/dc/elements/1.1/' xmlns:ns1='http://schemas.openxmlformats.org/package/2006/metadata/core-properties' " w:xpath="/ns1:coreProperties[1]/ns0:title[1]" w:storeItemID="{6C3C8BC8-F283-45AE-878A-BAB7291924A1}"/>
                                      <w:text/>
                                    </w:sdtPr>
                                    <w:sdtContent>
                                      <w:r w:rsidRPr="002A1DA8">
                                        <w:rPr>
                                          <w:rFonts w:ascii="华文仿宋" w:eastAsia="华文仿宋" w:hAnsi="华文仿宋"/>
                                          <w:b/>
                                          <w:color w:val="FFFFFF" w:themeColor="background1"/>
                                          <w:sz w:val="56"/>
                                          <w:szCs w:val="72"/>
                                        </w:rPr>
                                        <w:t>《基于MVO理论和CAPM模型的量化策略》</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Ox0Y6AIGAADCFAAADgAAAAAAAAAAAAAA&#10;AAAuAgAAZHJzL2Uyb0RvYy54bWxQSwECLQAUAAYACAAAACEASMHca9oAAAAHAQAADwAAAAAAAAAA&#10;AAAAAABcCAAAZHJzL2Rvd25yZXYueG1sUEsFBgAAAAAEAAQA8wAAAGMJAAAAAA==&#10;">
                    <o:lock v:ext="edit" aspectratio="t"/>
                    <v:shape id="任意多边形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12DF6" w:rsidRPr="002A1DA8" w:rsidRDefault="00E12DF6" w:rsidP="002A1DA8">
                            <w:pPr>
                              <w:jc w:val="center"/>
                              <w:rPr>
                                <w:rFonts w:ascii="华文仿宋" w:eastAsia="华文仿宋" w:hAnsi="华文仿宋"/>
                                <w:b/>
                                <w:color w:val="FFFFFF" w:themeColor="background1"/>
                                <w:sz w:val="72"/>
                                <w:szCs w:val="72"/>
                              </w:rPr>
                            </w:pPr>
                            <w:sdt>
                              <w:sdtPr>
                                <w:rPr>
                                  <w:rFonts w:ascii="华文仿宋" w:eastAsia="华文仿宋" w:hAnsi="华文仿宋"/>
                                  <w:b/>
                                  <w:color w:val="FFFFFF" w:themeColor="background1"/>
                                  <w:sz w:val="56"/>
                                  <w:szCs w:val="72"/>
                                </w:rPr>
                                <w:alias w:val="标题"/>
                                <w:tag w:val=""/>
                                <w:id w:val="-493185877"/>
                                <w:dataBinding w:prefixMappings="xmlns:ns0='http://purl.org/dc/elements/1.1/' xmlns:ns1='http://schemas.openxmlformats.org/package/2006/metadata/core-properties' " w:xpath="/ns1:coreProperties[1]/ns0:title[1]" w:storeItemID="{6C3C8BC8-F283-45AE-878A-BAB7291924A1}"/>
                                <w:text/>
                              </w:sdtPr>
                              <w:sdtContent>
                                <w:r w:rsidRPr="002A1DA8">
                                  <w:rPr>
                                    <w:rFonts w:ascii="华文仿宋" w:eastAsia="华文仿宋" w:hAnsi="华文仿宋"/>
                                    <w:b/>
                                    <w:color w:val="FFFFFF" w:themeColor="background1"/>
                                    <w:sz w:val="56"/>
                                    <w:szCs w:val="72"/>
                                  </w:rPr>
                                  <w:t>《基于MVO理论和CAPM模型的量化策略》</w:t>
                                </w:r>
                              </w:sdtContent>
                            </w:sdt>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eastAsia="黑体" w:hAnsi="黑体"/>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rsidR="00E12DF6" w:rsidRPr="00865F1E" w:rsidRDefault="00E12DF6">
                                    <w:pPr>
                                      <w:pStyle w:val="a9"/>
                                      <w:spacing w:before="40" w:after="40"/>
                                      <w:rPr>
                                        <w:rFonts w:ascii="黑体" w:eastAsia="黑体" w:hAnsi="黑体"/>
                                        <w:caps/>
                                        <w:color w:val="4472C4" w:themeColor="accent1"/>
                                        <w:sz w:val="28"/>
                                        <w:szCs w:val="28"/>
                                      </w:rPr>
                                    </w:pPr>
                                    <w:r w:rsidRPr="00865F1E">
                                      <w:rPr>
                                        <w:rFonts w:ascii="黑体" w:eastAsia="黑体" w:hAnsi="黑体"/>
                                        <w:caps/>
                                        <w:color w:val="4472C4" w:themeColor="accent1"/>
                                        <w:sz w:val="28"/>
                                        <w:szCs w:val="28"/>
                                      </w:rPr>
                                      <w:t>组</w:t>
                                    </w:r>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长：</w:t>
                                    </w:r>
                                    <w:proofErr w:type="gramStart"/>
                                    <w:r w:rsidRPr="00865F1E">
                                      <w:rPr>
                                        <w:rFonts w:ascii="黑体" w:eastAsia="黑体" w:hAnsi="黑体"/>
                                        <w:caps/>
                                        <w:color w:val="4472C4" w:themeColor="accent1"/>
                                        <w:sz w:val="28"/>
                                        <w:szCs w:val="28"/>
                                      </w:rPr>
                                      <w:t>聂</w:t>
                                    </w:r>
                                    <w:proofErr w:type="gramEnd"/>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聪                                                组</w:t>
                                    </w:r>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员：</w:t>
                                    </w:r>
                                    <w:proofErr w:type="gramStart"/>
                                    <w:r w:rsidRPr="00865F1E">
                                      <w:rPr>
                                        <w:rFonts w:ascii="黑体" w:eastAsia="黑体" w:hAnsi="黑体"/>
                                        <w:caps/>
                                        <w:color w:val="4472C4" w:themeColor="accent1"/>
                                        <w:sz w:val="28"/>
                                        <w:szCs w:val="28"/>
                                      </w:rPr>
                                      <w:t>孔杏华</w:t>
                                    </w:r>
                                    <w:proofErr w:type="gramEnd"/>
                                    <w:r w:rsidR="00DF6657">
                                      <w:rPr>
                                        <w:rFonts w:ascii="黑体" w:eastAsia="黑体" w:hAnsi="黑体" w:hint="eastAsia"/>
                                        <w:caps/>
                                        <w:color w:val="4472C4" w:themeColor="accent1"/>
                                        <w:sz w:val="28"/>
                                        <w:szCs w:val="28"/>
                                      </w:rPr>
                                      <w:t>、</w:t>
                                    </w:r>
                                    <w:r w:rsidRPr="00865F1E">
                                      <w:rPr>
                                        <w:rFonts w:ascii="黑体" w:eastAsia="黑体" w:hAnsi="黑体"/>
                                        <w:caps/>
                                        <w:color w:val="4472C4" w:themeColor="accent1"/>
                                        <w:sz w:val="28"/>
                                        <w:szCs w:val="28"/>
                                      </w:rPr>
                                      <w:t>李</w:t>
                                    </w:r>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爽</w:t>
                                    </w:r>
                                    <w:r w:rsidR="00DF6657">
                                      <w:rPr>
                                        <w:rFonts w:ascii="黑体" w:eastAsia="黑体" w:hAnsi="黑体" w:hint="eastAsia"/>
                                        <w:caps/>
                                        <w:color w:val="4472C4" w:themeColor="accent1"/>
                                        <w:sz w:val="28"/>
                                        <w:szCs w:val="28"/>
                                      </w:rPr>
                                      <w:t>、</w:t>
                                    </w:r>
                                    <w:proofErr w:type="gramStart"/>
                                    <w:r w:rsidRPr="00064991">
                                      <w:rPr>
                                        <w:rFonts w:ascii="黑体" w:eastAsia="黑体" w:hAnsi="黑体" w:hint="eastAsia"/>
                                        <w:caps/>
                                        <w:color w:val="4472C4" w:themeColor="accent1"/>
                                        <w:sz w:val="28"/>
                                        <w:szCs w:val="28"/>
                                      </w:rPr>
                                      <w:t>邓竺</w:t>
                                    </w:r>
                                    <w:proofErr w:type="gramEnd"/>
                                    <w:r w:rsidRPr="00064991">
                                      <w:rPr>
                                        <w:rFonts w:ascii="黑体" w:eastAsia="黑体" w:hAnsi="黑体" w:hint="eastAsia"/>
                                        <w:caps/>
                                        <w:color w:val="4472C4" w:themeColor="accent1"/>
                                        <w:sz w:val="28"/>
                                        <w:szCs w:val="28"/>
                                      </w:rPr>
                                      <w:t>奇</w:t>
                                    </w:r>
                                    <w:r w:rsidR="00DF6657">
                                      <w:rPr>
                                        <w:rFonts w:ascii="黑体" w:eastAsia="黑体" w:hAnsi="黑体" w:hint="eastAsia"/>
                                        <w:caps/>
                                        <w:color w:val="4472C4" w:themeColor="accent1"/>
                                        <w:sz w:val="28"/>
                                        <w:szCs w:val="28"/>
                                      </w:rPr>
                                      <w:t>、</w:t>
                                    </w:r>
                                    <w:r w:rsidRPr="00865F1E">
                                      <w:rPr>
                                        <w:rFonts w:ascii="黑体" w:eastAsia="黑体" w:hAnsi="黑体"/>
                                        <w:caps/>
                                        <w:color w:val="4472C4" w:themeColor="accent1"/>
                                        <w:sz w:val="28"/>
                                        <w:szCs w:val="28"/>
                                      </w:rPr>
                                      <w:t>毛宇婷</w:t>
                                    </w:r>
                                    <w:r w:rsidR="00DF6657">
                                      <w:rPr>
                                        <w:rFonts w:ascii="黑体" w:eastAsia="黑体" w:hAnsi="黑体" w:hint="eastAsia"/>
                                        <w:caps/>
                                        <w:color w:val="4472C4" w:themeColor="accent1"/>
                                        <w:sz w:val="28"/>
                                        <w:szCs w:val="28"/>
                                      </w:rPr>
                                      <w:t>、</w:t>
                                    </w:r>
                                    <w:r w:rsidRPr="00865F1E">
                                      <w:rPr>
                                        <w:rFonts w:ascii="黑体" w:eastAsia="黑体" w:hAnsi="黑体"/>
                                        <w:caps/>
                                        <w:color w:val="4472C4" w:themeColor="accent1"/>
                                        <w:sz w:val="28"/>
                                        <w:szCs w:val="28"/>
                                      </w:rPr>
                                      <w:t>王玉潇</w:t>
                                    </w:r>
                                    <w:r>
                                      <w:rPr>
                                        <w:rFonts w:ascii="黑体" w:eastAsia="黑体" w:hAnsi="黑体" w:hint="eastAsia"/>
                                        <w:caps/>
                                        <w:color w:val="4472C4" w:themeColor="accent1"/>
                                        <w:sz w:val="28"/>
                                        <w:szCs w:val="28"/>
                                      </w:rPr>
                                      <w:t xml:space="preserve"> </w:t>
                                    </w:r>
                                  </w:p>
                                </w:sdtContent>
                              </w:sdt>
                              <w:p w:rsidR="00E12DF6" w:rsidRDefault="00E12DF6">
                                <w:pPr>
                                  <w:pStyle w:val="a9"/>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9" o:spid="_x0000_s1029"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" filled="f" stroked="f" strokeweight=".5pt">
                    <v:textbox style="mso-fit-shape-to-text:t" inset="1in,0,86.4pt,0">
                      <w:txbxContent>
                        <w:sdt>
                          <w:sdtPr>
                            <w:rPr>
                              <w:rFonts w:ascii="黑体" w:eastAsia="黑体" w:hAnsi="黑体"/>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rsidR="00E12DF6" w:rsidRPr="00865F1E" w:rsidRDefault="00E12DF6">
                              <w:pPr>
                                <w:pStyle w:val="a9"/>
                                <w:spacing w:before="40" w:after="40"/>
                                <w:rPr>
                                  <w:rFonts w:ascii="黑体" w:eastAsia="黑体" w:hAnsi="黑体"/>
                                  <w:caps/>
                                  <w:color w:val="4472C4" w:themeColor="accent1"/>
                                  <w:sz w:val="28"/>
                                  <w:szCs w:val="28"/>
                                </w:rPr>
                              </w:pPr>
                              <w:r w:rsidRPr="00865F1E">
                                <w:rPr>
                                  <w:rFonts w:ascii="黑体" w:eastAsia="黑体" w:hAnsi="黑体"/>
                                  <w:caps/>
                                  <w:color w:val="4472C4" w:themeColor="accent1"/>
                                  <w:sz w:val="28"/>
                                  <w:szCs w:val="28"/>
                                </w:rPr>
                                <w:t>组</w:t>
                              </w:r>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长：</w:t>
                              </w:r>
                              <w:proofErr w:type="gramStart"/>
                              <w:r w:rsidRPr="00865F1E">
                                <w:rPr>
                                  <w:rFonts w:ascii="黑体" w:eastAsia="黑体" w:hAnsi="黑体"/>
                                  <w:caps/>
                                  <w:color w:val="4472C4" w:themeColor="accent1"/>
                                  <w:sz w:val="28"/>
                                  <w:szCs w:val="28"/>
                                </w:rPr>
                                <w:t>聂</w:t>
                              </w:r>
                              <w:proofErr w:type="gramEnd"/>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聪                                                组</w:t>
                              </w:r>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员：</w:t>
                              </w:r>
                              <w:proofErr w:type="gramStart"/>
                              <w:r w:rsidRPr="00865F1E">
                                <w:rPr>
                                  <w:rFonts w:ascii="黑体" w:eastAsia="黑体" w:hAnsi="黑体"/>
                                  <w:caps/>
                                  <w:color w:val="4472C4" w:themeColor="accent1"/>
                                  <w:sz w:val="28"/>
                                  <w:szCs w:val="28"/>
                                </w:rPr>
                                <w:t>孔杏华</w:t>
                              </w:r>
                              <w:proofErr w:type="gramEnd"/>
                              <w:r w:rsidR="00DF6657">
                                <w:rPr>
                                  <w:rFonts w:ascii="黑体" w:eastAsia="黑体" w:hAnsi="黑体" w:hint="eastAsia"/>
                                  <w:caps/>
                                  <w:color w:val="4472C4" w:themeColor="accent1"/>
                                  <w:sz w:val="28"/>
                                  <w:szCs w:val="28"/>
                                </w:rPr>
                                <w:t>、</w:t>
                              </w:r>
                              <w:r w:rsidRPr="00865F1E">
                                <w:rPr>
                                  <w:rFonts w:ascii="黑体" w:eastAsia="黑体" w:hAnsi="黑体"/>
                                  <w:caps/>
                                  <w:color w:val="4472C4" w:themeColor="accent1"/>
                                  <w:sz w:val="28"/>
                                  <w:szCs w:val="28"/>
                                </w:rPr>
                                <w:t>李</w:t>
                              </w:r>
                              <w:r>
                                <w:rPr>
                                  <w:rFonts w:ascii="黑体" w:eastAsia="黑体" w:hAnsi="黑体" w:hint="eastAsia"/>
                                  <w:caps/>
                                  <w:color w:val="4472C4" w:themeColor="accent1"/>
                                  <w:sz w:val="28"/>
                                  <w:szCs w:val="28"/>
                                </w:rPr>
                                <w:t xml:space="preserve"> </w:t>
                              </w:r>
                              <w:r w:rsidRPr="00865F1E">
                                <w:rPr>
                                  <w:rFonts w:ascii="黑体" w:eastAsia="黑体" w:hAnsi="黑体"/>
                                  <w:caps/>
                                  <w:color w:val="4472C4" w:themeColor="accent1"/>
                                  <w:sz w:val="28"/>
                                  <w:szCs w:val="28"/>
                                </w:rPr>
                                <w:t>爽</w:t>
                              </w:r>
                              <w:r w:rsidR="00DF6657">
                                <w:rPr>
                                  <w:rFonts w:ascii="黑体" w:eastAsia="黑体" w:hAnsi="黑体" w:hint="eastAsia"/>
                                  <w:caps/>
                                  <w:color w:val="4472C4" w:themeColor="accent1"/>
                                  <w:sz w:val="28"/>
                                  <w:szCs w:val="28"/>
                                </w:rPr>
                                <w:t>、</w:t>
                              </w:r>
                              <w:proofErr w:type="gramStart"/>
                              <w:r w:rsidRPr="00064991">
                                <w:rPr>
                                  <w:rFonts w:ascii="黑体" w:eastAsia="黑体" w:hAnsi="黑体" w:hint="eastAsia"/>
                                  <w:caps/>
                                  <w:color w:val="4472C4" w:themeColor="accent1"/>
                                  <w:sz w:val="28"/>
                                  <w:szCs w:val="28"/>
                                </w:rPr>
                                <w:t>邓竺</w:t>
                              </w:r>
                              <w:proofErr w:type="gramEnd"/>
                              <w:r w:rsidRPr="00064991">
                                <w:rPr>
                                  <w:rFonts w:ascii="黑体" w:eastAsia="黑体" w:hAnsi="黑体" w:hint="eastAsia"/>
                                  <w:caps/>
                                  <w:color w:val="4472C4" w:themeColor="accent1"/>
                                  <w:sz w:val="28"/>
                                  <w:szCs w:val="28"/>
                                </w:rPr>
                                <w:t>奇</w:t>
                              </w:r>
                              <w:r w:rsidR="00DF6657">
                                <w:rPr>
                                  <w:rFonts w:ascii="黑体" w:eastAsia="黑体" w:hAnsi="黑体" w:hint="eastAsia"/>
                                  <w:caps/>
                                  <w:color w:val="4472C4" w:themeColor="accent1"/>
                                  <w:sz w:val="28"/>
                                  <w:szCs w:val="28"/>
                                </w:rPr>
                                <w:t>、</w:t>
                              </w:r>
                              <w:r w:rsidRPr="00865F1E">
                                <w:rPr>
                                  <w:rFonts w:ascii="黑体" w:eastAsia="黑体" w:hAnsi="黑体"/>
                                  <w:caps/>
                                  <w:color w:val="4472C4" w:themeColor="accent1"/>
                                  <w:sz w:val="28"/>
                                  <w:szCs w:val="28"/>
                                </w:rPr>
                                <w:t>毛宇婷</w:t>
                              </w:r>
                              <w:r w:rsidR="00DF6657">
                                <w:rPr>
                                  <w:rFonts w:ascii="黑体" w:eastAsia="黑体" w:hAnsi="黑体" w:hint="eastAsia"/>
                                  <w:caps/>
                                  <w:color w:val="4472C4" w:themeColor="accent1"/>
                                  <w:sz w:val="28"/>
                                  <w:szCs w:val="28"/>
                                </w:rPr>
                                <w:t>、</w:t>
                              </w:r>
                              <w:r w:rsidRPr="00865F1E">
                                <w:rPr>
                                  <w:rFonts w:ascii="黑体" w:eastAsia="黑体" w:hAnsi="黑体"/>
                                  <w:caps/>
                                  <w:color w:val="4472C4" w:themeColor="accent1"/>
                                  <w:sz w:val="28"/>
                                  <w:szCs w:val="28"/>
                                </w:rPr>
                                <w:t>王玉潇</w:t>
                              </w:r>
                              <w:r>
                                <w:rPr>
                                  <w:rFonts w:ascii="黑体" w:eastAsia="黑体" w:hAnsi="黑体" w:hint="eastAsia"/>
                                  <w:caps/>
                                  <w:color w:val="4472C4" w:themeColor="accent1"/>
                                  <w:sz w:val="28"/>
                                  <w:szCs w:val="28"/>
                                </w:rPr>
                                <w:t xml:space="preserve"> </w:t>
                              </w:r>
                            </w:p>
                          </w:sdtContent>
                        </w:sdt>
                        <w:p w:rsidR="00E12DF6" w:rsidRDefault="00E12DF6">
                          <w:pPr>
                            <w:pStyle w:val="a9"/>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8-04-21T00:00:00Z">
                                    <w:dateFormat w:val="yyyy"/>
                                    <w:lid w:val="zh-CN"/>
                                    <w:storeMappedDataAs w:val="dateTime"/>
                                    <w:calendar w:val="gregorian"/>
                                  </w:date>
                                </w:sdtPr>
                                <w:sdtContent>
                                  <w:p w:rsidR="00E12DF6" w:rsidRPr="00865F1E" w:rsidRDefault="00E12DF6">
                                    <w:pPr>
                                      <w:pStyle w:val="a9"/>
                                      <w:jc w:val="right"/>
                                      <w:rPr>
                                        <w:rFonts w:ascii="Times New Roman" w:hAnsi="Times New Roman" w:cs="Times New Roman"/>
                                        <w:color w:val="FFFFFF" w:themeColor="background1"/>
                                        <w:sz w:val="24"/>
                                        <w:szCs w:val="24"/>
                                      </w:rPr>
                                    </w:pPr>
                                    <w:r w:rsidRPr="00865F1E">
                                      <w:rPr>
                                        <w:rFonts w:ascii="Times New Roman" w:hAnsi="Times New Roman" w:cs="Times New Roman"/>
                                        <w:color w:val="FFFFFF" w:themeColor="background1"/>
                                        <w:sz w:val="24"/>
                                        <w:szCs w:val="24"/>
                                      </w:rPr>
                                      <w:t>4-21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0" o:spid="_x0000_s1030"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5HB9kKYCAACN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8-04-21T00:00:00Z">
                              <w:dateFormat w:val="yyyy"/>
                              <w:lid w:val="zh-CN"/>
                              <w:storeMappedDataAs w:val="dateTime"/>
                              <w:calendar w:val="gregorian"/>
                            </w:date>
                          </w:sdtPr>
                          <w:sdtContent>
                            <w:p w:rsidR="00E12DF6" w:rsidRPr="00865F1E" w:rsidRDefault="00E12DF6">
                              <w:pPr>
                                <w:pStyle w:val="a9"/>
                                <w:jc w:val="right"/>
                                <w:rPr>
                                  <w:rFonts w:ascii="Times New Roman" w:hAnsi="Times New Roman" w:cs="Times New Roman"/>
                                  <w:color w:val="FFFFFF" w:themeColor="background1"/>
                                  <w:sz w:val="24"/>
                                  <w:szCs w:val="24"/>
                                </w:rPr>
                              </w:pPr>
                              <w:r w:rsidRPr="00865F1E">
                                <w:rPr>
                                  <w:rFonts w:ascii="Times New Roman" w:hAnsi="Times New Roman" w:cs="Times New Roman"/>
                                  <w:color w:val="FFFFFF" w:themeColor="background1"/>
                                  <w:sz w:val="24"/>
                                  <w:szCs w:val="24"/>
                                </w:rPr>
                                <w:t>4-21</w:t>
                              </w:r>
                            </w:p>
                          </w:sdtContent>
                        </w:sdt>
                      </w:txbxContent>
                    </v:textbox>
                    <w10:wrap anchorx="margin" anchory="page"/>
                  </v:rect>
                </w:pict>
              </mc:Fallback>
            </mc:AlternateContent>
          </w:r>
          <w:r>
            <w:rPr>
              <w:rFonts w:ascii="Times New Roman" w:eastAsia="黑体" w:hAnsi="Times New Roman" w:cs="Times New Roman"/>
              <w:b/>
              <w:bCs/>
              <w:color w:val="000000" w:themeColor="text1"/>
              <w:kern w:val="44"/>
              <w:sz w:val="28"/>
              <w:szCs w:val="44"/>
            </w:rPr>
            <w:br w:type="page"/>
          </w:r>
        </w:p>
        <w:bookmarkStart w:id="1" w:name="_GoBack" w:displacedByCustomXml="next"/>
        <w:bookmarkEnd w:id="1" w:displacedByCustomXml="next"/>
      </w:sdtContent>
    </w:sdt>
    <w:sdt>
      <w:sdtPr>
        <w:rPr>
          <w:rFonts w:asciiTheme="minorHAnsi" w:eastAsia="宋体" w:hAnsiTheme="minorHAnsi" w:cstheme="minorBidi"/>
          <w:color w:val="auto"/>
          <w:kern w:val="2"/>
          <w:sz w:val="21"/>
          <w:szCs w:val="22"/>
          <w:lang w:val="zh-CN"/>
        </w:rPr>
        <w:id w:val="-75671960"/>
        <w:docPartObj>
          <w:docPartGallery w:val="Table of Contents"/>
          <w:docPartUnique/>
        </w:docPartObj>
      </w:sdtPr>
      <w:sdtEndPr>
        <w:rPr>
          <w:b/>
          <w:bCs/>
        </w:rPr>
      </w:sdtEndPr>
      <w:sdtContent>
        <w:p w:rsidR="006C0670" w:rsidRPr="009A3388" w:rsidRDefault="006C0670" w:rsidP="00DF6657">
          <w:pPr>
            <w:pStyle w:val="TOC"/>
            <w:spacing w:line="300" w:lineRule="auto"/>
            <w:jc w:val="center"/>
            <w:rPr>
              <w:rFonts w:ascii="Times New Roman" w:eastAsia="黑体" w:hAnsi="Times New Roman" w:cs="Times New Roman"/>
              <w:b/>
              <w:sz w:val="40"/>
              <w:lang w:val="zh-CN"/>
            </w:rPr>
          </w:pPr>
          <w:r w:rsidRPr="009A3388">
            <w:rPr>
              <w:rFonts w:ascii="Times New Roman" w:eastAsia="黑体" w:hAnsi="Times New Roman" w:cs="Times New Roman"/>
              <w:b/>
              <w:sz w:val="36"/>
              <w:lang w:val="zh-CN"/>
            </w:rPr>
            <w:t>《基于</w:t>
          </w:r>
          <w:r w:rsidRPr="009A3388">
            <w:rPr>
              <w:rFonts w:ascii="Times New Roman" w:eastAsia="黑体" w:hAnsi="Times New Roman" w:cs="Times New Roman"/>
              <w:b/>
              <w:sz w:val="36"/>
              <w:lang w:val="zh-CN"/>
            </w:rPr>
            <w:t>MVO</w:t>
          </w:r>
          <w:r w:rsidRPr="009A3388">
            <w:rPr>
              <w:rFonts w:ascii="Times New Roman" w:eastAsia="黑体" w:hAnsi="Times New Roman" w:cs="Times New Roman"/>
              <w:b/>
              <w:sz w:val="36"/>
              <w:lang w:val="zh-CN"/>
            </w:rPr>
            <w:t>理论和</w:t>
          </w:r>
          <w:r w:rsidRPr="009A3388">
            <w:rPr>
              <w:rFonts w:ascii="Times New Roman" w:eastAsia="黑体" w:hAnsi="Times New Roman" w:cs="Times New Roman"/>
              <w:b/>
              <w:sz w:val="36"/>
              <w:lang w:val="zh-CN"/>
            </w:rPr>
            <w:t>CAPM</w:t>
          </w:r>
          <w:r w:rsidRPr="009A3388">
            <w:rPr>
              <w:rFonts w:ascii="Times New Roman" w:eastAsia="黑体" w:hAnsi="Times New Roman" w:cs="Times New Roman"/>
              <w:b/>
              <w:sz w:val="36"/>
              <w:lang w:val="zh-CN"/>
            </w:rPr>
            <w:t>模型的量化策略》</w:t>
          </w:r>
        </w:p>
        <w:p w:rsidR="009A3388" w:rsidRPr="009A3388" w:rsidRDefault="009A3388" w:rsidP="00415C05">
          <w:pPr>
            <w:rPr>
              <w:rFonts w:ascii="Times New Roman" w:hAnsi="Times New Roman" w:cs="Times New Roman"/>
              <w:lang w:val="zh-CN"/>
            </w:rPr>
          </w:pPr>
        </w:p>
        <w:p w:rsidR="00415C05" w:rsidRPr="00415C05" w:rsidRDefault="006C0670" w:rsidP="00DF6657">
          <w:pPr>
            <w:pStyle w:val="11"/>
            <w:rPr>
              <w:rFonts w:eastAsiaTheme="minorEastAsia"/>
              <w:sz w:val="21"/>
            </w:rPr>
          </w:pPr>
          <w:r w:rsidRPr="009A3388">
            <w:fldChar w:fldCharType="begin"/>
          </w:r>
          <w:r w:rsidRPr="009A3388">
            <w:instrText xml:space="preserve"> TOC \o "1-3" \h \z \u </w:instrText>
          </w:r>
          <w:r w:rsidRPr="009A3388">
            <w:fldChar w:fldCharType="separate"/>
          </w:r>
          <w:hyperlink w:anchor="_Toc512116416" w:history="1">
            <w:r w:rsidR="00415C05" w:rsidRPr="00415C05">
              <w:rPr>
                <w:rStyle w:val="ab"/>
              </w:rPr>
              <w:t>一、摘要</w:t>
            </w:r>
            <w:r w:rsidR="00415C05" w:rsidRPr="00415C05">
              <w:rPr>
                <w:webHidden/>
              </w:rPr>
              <w:tab/>
            </w:r>
            <w:r w:rsidR="00415C05" w:rsidRPr="00415C05">
              <w:rPr>
                <w:webHidden/>
              </w:rPr>
              <w:fldChar w:fldCharType="begin"/>
            </w:r>
            <w:r w:rsidR="00415C05" w:rsidRPr="00415C05">
              <w:rPr>
                <w:webHidden/>
              </w:rPr>
              <w:instrText xml:space="preserve"> PAGEREF _Toc512116416 \h </w:instrText>
            </w:r>
            <w:r w:rsidR="00415C05" w:rsidRPr="00415C05">
              <w:rPr>
                <w:webHidden/>
              </w:rPr>
            </w:r>
            <w:r w:rsidR="00415C05" w:rsidRPr="00415C05">
              <w:rPr>
                <w:webHidden/>
              </w:rPr>
              <w:fldChar w:fldCharType="separate"/>
            </w:r>
            <w:r w:rsidR="00415C05" w:rsidRPr="00415C05">
              <w:rPr>
                <w:webHidden/>
              </w:rPr>
              <w:t>2</w:t>
            </w:r>
            <w:r w:rsidR="00415C05" w:rsidRPr="00415C05">
              <w:rPr>
                <w:webHidden/>
              </w:rPr>
              <w:fldChar w:fldCharType="end"/>
            </w:r>
          </w:hyperlink>
        </w:p>
        <w:p w:rsidR="00415C05" w:rsidRPr="00415C05" w:rsidRDefault="00415C05" w:rsidP="00DF6657">
          <w:pPr>
            <w:pStyle w:val="11"/>
            <w:rPr>
              <w:rFonts w:eastAsiaTheme="minorEastAsia"/>
              <w:sz w:val="21"/>
            </w:rPr>
          </w:pPr>
          <w:hyperlink w:anchor="_Toc512116417" w:history="1">
            <w:r w:rsidRPr="00415C05">
              <w:rPr>
                <w:rStyle w:val="ab"/>
              </w:rPr>
              <w:t>二、理论推导与模型构建</w:t>
            </w:r>
            <w:r w:rsidRPr="00415C05">
              <w:rPr>
                <w:webHidden/>
              </w:rPr>
              <w:tab/>
            </w:r>
            <w:r w:rsidRPr="00415C05">
              <w:rPr>
                <w:webHidden/>
              </w:rPr>
              <w:fldChar w:fldCharType="begin"/>
            </w:r>
            <w:r w:rsidRPr="00415C05">
              <w:rPr>
                <w:webHidden/>
              </w:rPr>
              <w:instrText xml:space="preserve"> PAGEREF _Toc512116417 \h </w:instrText>
            </w:r>
            <w:r w:rsidRPr="00415C05">
              <w:rPr>
                <w:webHidden/>
              </w:rPr>
            </w:r>
            <w:r w:rsidRPr="00415C05">
              <w:rPr>
                <w:webHidden/>
              </w:rPr>
              <w:fldChar w:fldCharType="separate"/>
            </w:r>
            <w:r w:rsidRPr="00415C05">
              <w:rPr>
                <w:webHidden/>
              </w:rPr>
              <w:t>2</w:t>
            </w:r>
            <w:r w:rsidRPr="00415C05">
              <w:rPr>
                <w:webHidden/>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18" w:history="1">
            <w:r w:rsidRPr="00415C05">
              <w:rPr>
                <w:rStyle w:val="ab"/>
                <w:rFonts w:ascii="Times New Roman" w:hAnsi="Times New Roman" w:cs="Times New Roman"/>
                <w:noProof/>
                <w:sz w:val="24"/>
              </w:rPr>
              <w:t>（一）马科维茨的均值</w:t>
            </w:r>
            <w:r w:rsidRPr="00415C05">
              <w:rPr>
                <w:rStyle w:val="ab"/>
                <w:rFonts w:ascii="Times New Roman" w:hAnsi="Times New Roman" w:cs="Times New Roman"/>
                <w:noProof/>
                <w:sz w:val="24"/>
              </w:rPr>
              <w:t>-</w:t>
            </w:r>
            <w:r w:rsidRPr="00415C05">
              <w:rPr>
                <w:rStyle w:val="ab"/>
                <w:rFonts w:ascii="Times New Roman" w:hAnsi="Times New Roman" w:cs="Times New Roman"/>
                <w:noProof/>
                <w:sz w:val="24"/>
              </w:rPr>
              <w:t>方差最优化理论</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_Toc512116418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2</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19" w:history="1">
            <w:r w:rsidRPr="00415C05">
              <w:rPr>
                <w:rStyle w:val="ab"/>
                <w:rFonts w:ascii="Times New Roman" w:hAnsi="Times New Roman" w:cs="Times New Roman"/>
                <w:noProof/>
                <w:sz w:val="24"/>
              </w:rPr>
              <w:t>（二）威廉</w:t>
            </w:r>
            <w:r w:rsidRPr="00415C05">
              <w:rPr>
                <w:rStyle w:val="ab"/>
                <w:rFonts w:ascii="Times New Roman" w:hAnsi="Times New Roman" w:cs="Times New Roman"/>
                <w:noProof/>
                <w:sz w:val="24"/>
              </w:rPr>
              <w:t>·</w:t>
            </w:r>
            <w:r w:rsidRPr="00415C05">
              <w:rPr>
                <w:rStyle w:val="ab"/>
                <w:rFonts w:ascii="Times New Roman" w:hAnsi="Times New Roman" w:cs="Times New Roman"/>
                <w:noProof/>
                <w:sz w:val="24"/>
              </w:rPr>
              <w:t>夏普的资本资产定价模型</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_Toc512116419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4</w:t>
            </w:r>
            <w:r w:rsidRPr="00415C05">
              <w:rPr>
                <w:rFonts w:ascii="Times New Roman" w:hAnsi="Times New Roman" w:cs="Times New Roman"/>
                <w:noProof/>
                <w:webHidden/>
                <w:sz w:val="24"/>
              </w:rPr>
              <w:fldChar w:fldCharType="end"/>
            </w:r>
          </w:hyperlink>
        </w:p>
        <w:p w:rsidR="00415C05" w:rsidRPr="00415C05" w:rsidRDefault="00415C05" w:rsidP="00DF6657">
          <w:pPr>
            <w:pStyle w:val="11"/>
            <w:rPr>
              <w:rFonts w:eastAsiaTheme="minorEastAsia"/>
              <w:sz w:val="21"/>
            </w:rPr>
          </w:pPr>
          <w:hyperlink w:anchor="_Toc512116420" w:history="1">
            <w:r w:rsidRPr="00415C05">
              <w:rPr>
                <w:rStyle w:val="ab"/>
              </w:rPr>
              <w:t>三、</w:t>
            </w:r>
            <w:r w:rsidRPr="00415C05">
              <w:rPr>
                <w:rStyle w:val="ab"/>
              </w:rPr>
              <w:t>CAPM</w:t>
            </w:r>
            <w:r w:rsidRPr="00415C05">
              <w:rPr>
                <w:rStyle w:val="ab"/>
              </w:rPr>
              <w:t>模型的拟合检验</w:t>
            </w:r>
            <w:r w:rsidRPr="00415C05">
              <w:rPr>
                <w:webHidden/>
              </w:rPr>
              <w:tab/>
            </w:r>
            <w:r w:rsidRPr="00415C05">
              <w:rPr>
                <w:webHidden/>
              </w:rPr>
              <w:fldChar w:fldCharType="begin"/>
            </w:r>
            <w:r w:rsidRPr="00415C05">
              <w:rPr>
                <w:webHidden/>
              </w:rPr>
              <w:instrText xml:space="preserve"> PAGEREF _Toc512116420 \h </w:instrText>
            </w:r>
            <w:r w:rsidRPr="00415C05">
              <w:rPr>
                <w:webHidden/>
              </w:rPr>
            </w:r>
            <w:r w:rsidRPr="00415C05">
              <w:rPr>
                <w:webHidden/>
              </w:rPr>
              <w:fldChar w:fldCharType="separate"/>
            </w:r>
            <w:r w:rsidRPr="00415C05">
              <w:rPr>
                <w:webHidden/>
              </w:rPr>
              <w:t>4</w:t>
            </w:r>
            <w:r w:rsidRPr="00415C05">
              <w:rPr>
                <w:webHidden/>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1" w:history="1">
            <w:r w:rsidRPr="00415C05">
              <w:rPr>
                <w:rStyle w:val="ab"/>
                <w:rFonts w:ascii="Times New Roman" w:hAnsi="Times New Roman" w:cs="Times New Roman"/>
                <w:noProof/>
                <w:sz w:val="24"/>
              </w:rPr>
              <w:t>（一）操作目的</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_Toc512116421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4</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2" w:history="1">
            <w:r w:rsidRPr="00415C05">
              <w:rPr>
                <w:rStyle w:val="ab"/>
                <w:rFonts w:ascii="Times New Roman" w:hAnsi="Times New Roman" w:cs="Times New Roman"/>
                <w:noProof/>
                <w:sz w:val="24"/>
              </w:rPr>
              <w:t>（二）代码设计思路</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_Toc512116422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5</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3" w:history="1">
            <w:r w:rsidRPr="00415C05">
              <w:rPr>
                <w:rStyle w:val="ab"/>
                <w:rFonts w:ascii="Times New Roman" w:hAnsi="Times New Roman" w:cs="Times New Roman"/>
                <w:noProof/>
                <w:sz w:val="24"/>
              </w:rPr>
              <w:t>（三）操作步骤</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_Toc512116423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6</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4" w:history="1">
            <w:r w:rsidRPr="00415C05">
              <w:rPr>
                <w:rStyle w:val="ab"/>
                <w:rFonts w:ascii="Times New Roman" w:hAnsi="Times New Roman" w:cs="Times New Roman"/>
                <w:noProof/>
                <w:sz w:val="24"/>
              </w:rPr>
              <w:t>（四）拟合结果分析</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_Toc512116424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6</w:t>
            </w:r>
            <w:r w:rsidRPr="00415C05">
              <w:rPr>
                <w:rFonts w:ascii="Times New Roman" w:hAnsi="Times New Roman" w:cs="Times New Roman"/>
                <w:noProof/>
                <w:webHidden/>
                <w:sz w:val="24"/>
              </w:rPr>
              <w:fldChar w:fldCharType="end"/>
            </w:r>
          </w:hyperlink>
        </w:p>
        <w:p w:rsidR="00415C05" w:rsidRPr="00415C05" w:rsidRDefault="00415C05" w:rsidP="00DF6657">
          <w:pPr>
            <w:pStyle w:val="11"/>
            <w:rPr>
              <w:rFonts w:eastAsiaTheme="minorEastAsia"/>
              <w:sz w:val="21"/>
            </w:rPr>
          </w:pPr>
          <w:hyperlink w:anchor="_Toc512116425" w:history="1">
            <w:r w:rsidRPr="00415C05">
              <w:rPr>
                <w:rStyle w:val="ab"/>
              </w:rPr>
              <w:t>四、交易策略</w:t>
            </w:r>
            <w:r w:rsidRPr="00415C05">
              <w:rPr>
                <w:webHidden/>
              </w:rPr>
              <w:tab/>
            </w:r>
            <w:r w:rsidRPr="00415C05">
              <w:rPr>
                <w:webHidden/>
              </w:rPr>
              <w:fldChar w:fldCharType="begin"/>
            </w:r>
            <w:r w:rsidRPr="00415C05">
              <w:rPr>
                <w:webHidden/>
              </w:rPr>
              <w:instrText xml:space="preserve"> PAGEREF _Toc512116425 \h </w:instrText>
            </w:r>
            <w:r w:rsidRPr="00415C05">
              <w:rPr>
                <w:webHidden/>
              </w:rPr>
            </w:r>
            <w:r w:rsidRPr="00415C05">
              <w:rPr>
                <w:webHidden/>
              </w:rPr>
              <w:fldChar w:fldCharType="separate"/>
            </w:r>
            <w:r w:rsidRPr="00415C05">
              <w:rPr>
                <w:webHidden/>
              </w:rPr>
              <w:t>8</w:t>
            </w:r>
            <w:r w:rsidRPr="00415C05">
              <w:rPr>
                <w:webHidden/>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6" w:history="1">
            <w:r w:rsidRPr="00415C05">
              <w:rPr>
                <w:rStyle w:val="ab"/>
                <w:rFonts w:ascii="Times New Roman" w:hAnsi="Times New Roman" w:cs="Times New Roman"/>
                <w:noProof/>
                <w:sz w:val="24"/>
              </w:rPr>
              <w:t>（一）操作目的</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_Toc512116426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8</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7" w:history="1">
            <w:r w:rsidRPr="00415C05">
              <w:rPr>
                <w:rStyle w:val="ab"/>
                <w:rFonts w:ascii="Times New Roman" w:hAnsi="Times New Roman" w:cs="Times New Roman"/>
                <w:noProof/>
                <w:sz w:val="24"/>
              </w:rPr>
              <w:t>（二）代码设计思路</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_Toc512116427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8</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8" w:history="1">
            <w:r w:rsidRPr="00415C05">
              <w:rPr>
                <w:rStyle w:val="ab"/>
                <w:rFonts w:ascii="Times New Roman" w:hAnsi="Times New Roman" w:cs="Times New Roman"/>
                <w:noProof/>
                <w:sz w:val="24"/>
              </w:rPr>
              <w:t>（三）操作步骤</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_Toc512116428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9</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29" w:history="1">
            <w:r w:rsidRPr="00415C05">
              <w:rPr>
                <w:rStyle w:val="ab"/>
                <w:rFonts w:ascii="Times New Roman" w:hAnsi="Times New Roman" w:cs="Times New Roman"/>
                <w:noProof/>
                <w:sz w:val="24"/>
              </w:rPr>
              <w:t>（四）结果展示</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_Toc512116429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9</w:t>
            </w:r>
            <w:r w:rsidRPr="00415C05">
              <w:rPr>
                <w:rFonts w:ascii="Times New Roman" w:hAnsi="Times New Roman" w:cs="Times New Roman"/>
                <w:noProof/>
                <w:webHidden/>
                <w:sz w:val="24"/>
              </w:rPr>
              <w:fldChar w:fldCharType="end"/>
            </w:r>
          </w:hyperlink>
        </w:p>
        <w:p w:rsidR="00415C05" w:rsidRPr="00415C05" w:rsidRDefault="00415C05" w:rsidP="00DF6657">
          <w:pPr>
            <w:pStyle w:val="11"/>
            <w:rPr>
              <w:rFonts w:eastAsiaTheme="minorEastAsia"/>
              <w:sz w:val="21"/>
            </w:rPr>
          </w:pPr>
          <w:hyperlink w:anchor="_Toc512116430" w:history="1">
            <w:r w:rsidRPr="00415C05">
              <w:rPr>
                <w:rStyle w:val="ab"/>
              </w:rPr>
              <w:t>五、历史回测</w:t>
            </w:r>
            <w:r w:rsidRPr="00415C05">
              <w:rPr>
                <w:webHidden/>
              </w:rPr>
              <w:tab/>
            </w:r>
            <w:r w:rsidRPr="00415C05">
              <w:rPr>
                <w:webHidden/>
              </w:rPr>
              <w:fldChar w:fldCharType="begin"/>
            </w:r>
            <w:r w:rsidRPr="00415C05">
              <w:rPr>
                <w:webHidden/>
              </w:rPr>
              <w:instrText xml:space="preserve"> PAGEREF _Toc512116430 \h </w:instrText>
            </w:r>
            <w:r w:rsidRPr="00415C05">
              <w:rPr>
                <w:webHidden/>
              </w:rPr>
            </w:r>
            <w:r w:rsidRPr="00415C05">
              <w:rPr>
                <w:webHidden/>
              </w:rPr>
              <w:fldChar w:fldCharType="separate"/>
            </w:r>
            <w:r w:rsidRPr="00415C05">
              <w:rPr>
                <w:webHidden/>
              </w:rPr>
              <w:t>11</w:t>
            </w:r>
            <w:r w:rsidRPr="00415C05">
              <w:rPr>
                <w:webHidden/>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31" w:history="1">
            <w:r w:rsidRPr="00415C05">
              <w:rPr>
                <w:rStyle w:val="ab"/>
                <w:rFonts w:ascii="Times New Roman" w:hAnsi="Times New Roman" w:cs="Times New Roman"/>
                <w:noProof/>
                <w:sz w:val="24"/>
              </w:rPr>
              <w:t>（一）操作目的</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_Toc512116431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11</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32" w:history="1">
            <w:r w:rsidRPr="00415C05">
              <w:rPr>
                <w:rStyle w:val="ab"/>
                <w:rFonts w:ascii="Times New Roman" w:hAnsi="Times New Roman" w:cs="Times New Roman"/>
                <w:noProof/>
                <w:sz w:val="24"/>
              </w:rPr>
              <w:t>（二）操作步骤与策略设计</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_Toc512116432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11</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33" w:history="1">
            <w:r w:rsidRPr="00415C05">
              <w:rPr>
                <w:rStyle w:val="ab"/>
                <w:rFonts w:ascii="Times New Roman" w:hAnsi="Times New Roman" w:cs="Times New Roman"/>
                <w:noProof/>
                <w:sz w:val="24"/>
              </w:rPr>
              <w:t>（三）结果展示</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_Toc512116433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12</w:t>
            </w:r>
            <w:r w:rsidRPr="00415C05">
              <w:rPr>
                <w:rFonts w:ascii="Times New Roman" w:hAnsi="Times New Roman" w:cs="Times New Roman"/>
                <w:noProof/>
                <w:webHidden/>
                <w:sz w:val="24"/>
              </w:rPr>
              <w:fldChar w:fldCharType="end"/>
            </w:r>
          </w:hyperlink>
        </w:p>
        <w:p w:rsidR="00415C05" w:rsidRPr="00415C05" w:rsidRDefault="00415C05" w:rsidP="00DF6657">
          <w:pPr>
            <w:pStyle w:val="11"/>
            <w:rPr>
              <w:rFonts w:eastAsiaTheme="minorEastAsia"/>
              <w:sz w:val="21"/>
            </w:rPr>
          </w:pPr>
          <w:hyperlink w:anchor="_Toc512116434" w:history="1">
            <w:r w:rsidRPr="00415C05">
              <w:rPr>
                <w:rStyle w:val="ab"/>
              </w:rPr>
              <w:t>六、回测分析</w:t>
            </w:r>
            <w:r w:rsidRPr="00415C05">
              <w:rPr>
                <w:webHidden/>
              </w:rPr>
              <w:tab/>
            </w:r>
            <w:r w:rsidRPr="00415C05">
              <w:rPr>
                <w:webHidden/>
              </w:rPr>
              <w:fldChar w:fldCharType="begin"/>
            </w:r>
            <w:r w:rsidRPr="00415C05">
              <w:rPr>
                <w:webHidden/>
              </w:rPr>
              <w:instrText xml:space="preserve"> PAGEREF _Toc512116434 \h </w:instrText>
            </w:r>
            <w:r w:rsidRPr="00415C05">
              <w:rPr>
                <w:webHidden/>
              </w:rPr>
            </w:r>
            <w:r w:rsidRPr="00415C05">
              <w:rPr>
                <w:webHidden/>
              </w:rPr>
              <w:fldChar w:fldCharType="separate"/>
            </w:r>
            <w:r w:rsidRPr="00415C05">
              <w:rPr>
                <w:webHidden/>
              </w:rPr>
              <w:t>13</w:t>
            </w:r>
            <w:r w:rsidRPr="00415C05">
              <w:rPr>
                <w:webHidden/>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35" w:history="1">
            <w:r w:rsidRPr="00415C05">
              <w:rPr>
                <w:rStyle w:val="ab"/>
                <w:rFonts w:ascii="Times New Roman" w:hAnsi="Times New Roman" w:cs="Times New Roman"/>
                <w:noProof/>
                <w:sz w:val="24"/>
              </w:rPr>
              <w:t>（一）个股分析</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_Toc512116435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13</w:t>
            </w:r>
            <w:r w:rsidRPr="00415C05">
              <w:rPr>
                <w:rFonts w:ascii="Times New Roman" w:hAnsi="Times New Roman" w:cs="Times New Roman"/>
                <w:noProof/>
                <w:webHidden/>
                <w:sz w:val="24"/>
              </w:rPr>
              <w:fldChar w:fldCharType="end"/>
            </w:r>
          </w:hyperlink>
        </w:p>
        <w:p w:rsidR="00415C05" w:rsidRPr="00415C05" w:rsidRDefault="00415C05" w:rsidP="00DF6657">
          <w:pPr>
            <w:pStyle w:val="22"/>
            <w:tabs>
              <w:tab w:val="right" w:leader="dot" w:pos="8296"/>
            </w:tabs>
            <w:spacing w:line="360" w:lineRule="auto"/>
            <w:rPr>
              <w:rFonts w:ascii="Times New Roman" w:eastAsiaTheme="minorEastAsia" w:hAnsi="Times New Roman" w:cs="Times New Roman"/>
              <w:noProof/>
              <w:sz w:val="24"/>
            </w:rPr>
          </w:pPr>
          <w:hyperlink w:anchor="_Toc512116436" w:history="1">
            <w:r w:rsidRPr="00415C05">
              <w:rPr>
                <w:rStyle w:val="ab"/>
                <w:rFonts w:ascii="Times New Roman" w:hAnsi="Times New Roman" w:cs="Times New Roman"/>
                <w:noProof/>
                <w:sz w:val="24"/>
              </w:rPr>
              <w:t>（二）投资组合分析</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_Toc512116436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16</w:t>
            </w:r>
            <w:r w:rsidRPr="00415C05">
              <w:rPr>
                <w:rFonts w:ascii="Times New Roman" w:hAnsi="Times New Roman" w:cs="Times New Roman"/>
                <w:noProof/>
                <w:webHidden/>
                <w:sz w:val="24"/>
              </w:rPr>
              <w:fldChar w:fldCharType="end"/>
            </w:r>
          </w:hyperlink>
        </w:p>
        <w:p w:rsidR="00415C05" w:rsidRPr="00415C05" w:rsidRDefault="00415C05" w:rsidP="00DF6657">
          <w:pPr>
            <w:pStyle w:val="11"/>
            <w:rPr>
              <w:rFonts w:eastAsiaTheme="minorEastAsia"/>
              <w:sz w:val="21"/>
            </w:rPr>
          </w:pPr>
          <w:hyperlink w:anchor="_Toc512116437" w:history="1">
            <w:r w:rsidRPr="00415C05">
              <w:rPr>
                <w:rStyle w:val="ab"/>
              </w:rPr>
              <w:t>七、策略评价</w:t>
            </w:r>
            <w:r w:rsidRPr="00415C05">
              <w:rPr>
                <w:webHidden/>
              </w:rPr>
              <w:tab/>
            </w:r>
            <w:r w:rsidRPr="00415C05">
              <w:rPr>
                <w:webHidden/>
              </w:rPr>
              <w:fldChar w:fldCharType="begin"/>
            </w:r>
            <w:r w:rsidRPr="00415C05">
              <w:rPr>
                <w:webHidden/>
              </w:rPr>
              <w:instrText xml:space="preserve"> PAGEREF _Toc512116437 \h </w:instrText>
            </w:r>
            <w:r w:rsidRPr="00415C05">
              <w:rPr>
                <w:webHidden/>
              </w:rPr>
            </w:r>
            <w:r w:rsidRPr="00415C05">
              <w:rPr>
                <w:webHidden/>
              </w:rPr>
              <w:fldChar w:fldCharType="separate"/>
            </w:r>
            <w:r w:rsidRPr="00415C05">
              <w:rPr>
                <w:webHidden/>
              </w:rPr>
              <w:t>17</w:t>
            </w:r>
            <w:r w:rsidRPr="00415C05">
              <w:rPr>
                <w:webHidden/>
              </w:rPr>
              <w:fldChar w:fldCharType="end"/>
            </w:r>
          </w:hyperlink>
        </w:p>
        <w:p w:rsidR="00DF6657" w:rsidRPr="00415C05" w:rsidRDefault="00DF6657" w:rsidP="00DF6657">
          <w:pPr>
            <w:pStyle w:val="22"/>
            <w:tabs>
              <w:tab w:val="right" w:leader="dot" w:pos="8296"/>
            </w:tabs>
            <w:spacing w:line="360" w:lineRule="auto"/>
            <w:rPr>
              <w:rFonts w:ascii="Times New Roman" w:eastAsiaTheme="minorEastAsia" w:hAnsi="Times New Roman" w:cs="Times New Roman"/>
              <w:noProof/>
              <w:sz w:val="24"/>
            </w:rPr>
          </w:pPr>
          <w:hyperlink w:anchor="_Toc512116435" w:history="1">
            <w:r w:rsidRPr="00415C05">
              <w:rPr>
                <w:rStyle w:val="ab"/>
                <w:rFonts w:ascii="Times New Roman" w:hAnsi="Times New Roman" w:cs="Times New Roman"/>
                <w:noProof/>
                <w:sz w:val="24"/>
              </w:rPr>
              <w:t>（一）</w:t>
            </w:r>
            <w:r>
              <w:rPr>
                <w:rStyle w:val="ab"/>
                <w:rFonts w:ascii="Times New Roman" w:hAnsi="Times New Roman" w:cs="Times New Roman" w:hint="eastAsia"/>
                <w:noProof/>
                <w:sz w:val="24"/>
              </w:rPr>
              <w:t>优点</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_Toc512116435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w:t>
            </w:r>
            <w:r w:rsidRPr="00415C05">
              <w:rPr>
                <w:rFonts w:ascii="Times New Roman" w:hAnsi="Times New Roman" w:cs="Times New Roman"/>
                <w:noProof/>
                <w:webHidden/>
                <w:sz w:val="24"/>
              </w:rPr>
              <w:fldChar w:fldCharType="end"/>
            </w:r>
          </w:hyperlink>
          <w:r>
            <w:rPr>
              <w:rStyle w:val="ab"/>
              <w:rFonts w:ascii="Times New Roman" w:hAnsi="Times New Roman" w:cs="Times New Roman" w:hint="eastAsia"/>
              <w:noProof/>
              <w:sz w:val="24"/>
            </w:rPr>
            <w:t>7</w:t>
          </w:r>
        </w:p>
        <w:p w:rsidR="00DF6657" w:rsidRPr="00415C05" w:rsidRDefault="00DF6657" w:rsidP="00DF6657">
          <w:pPr>
            <w:pStyle w:val="22"/>
            <w:tabs>
              <w:tab w:val="right" w:leader="dot" w:pos="8296"/>
            </w:tabs>
            <w:spacing w:line="360" w:lineRule="auto"/>
            <w:rPr>
              <w:rFonts w:ascii="Times New Roman" w:eastAsiaTheme="minorEastAsia" w:hAnsi="Times New Roman" w:cs="Times New Roman"/>
              <w:noProof/>
              <w:sz w:val="24"/>
            </w:rPr>
          </w:pPr>
          <w:hyperlink w:anchor="_Toc512116436" w:history="1">
            <w:r w:rsidRPr="00415C05">
              <w:rPr>
                <w:rStyle w:val="ab"/>
                <w:rFonts w:ascii="Times New Roman" w:hAnsi="Times New Roman" w:cs="Times New Roman"/>
                <w:noProof/>
                <w:sz w:val="24"/>
              </w:rPr>
              <w:t>（二）</w:t>
            </w:r>
            <w:r>
              <w:rPr>
                <w:rStyle w:val="ab"/>
                <w:rFonts w:ascii="Times New Roman" w:hAnsi="Times New Roman" w:cs="Times New Roman" w:hint="eastAsia"/>
                <w:noProof/>
                <w:sz w:val="24"/>
              </w:rPr>
              <w:t>缺点</w:t>
            </w:r>
            <w:r w:rsidRPr="00415C05">
              <w:rPr>
                <w:rFonts w:ascii="Times New Roman" w:hAnsi="Times New Roman" w:cs="Times New Roman"/>
                <w:noProof/>
                <w:webHidden/>
                <w:sz w:val="24"/>
              </w:rPr>
              <w:tab/>
            </w:r>
            <w:r w:rsidRPr="00415C05">
              <w:rPr>
                <w:rFonts w:ascii="Times New Roman" w:hAnsi="Times New Roman" w:cs="Times New Roman"/>
                <w:noProof/>
                <w:webHidden/>
                <w:sz w:val="24"/>
              </w:rPr>
              <w:fldChar w:fldCharType="begin"/>
            </w:r>
            <w:r w:rsidRPr="00415C05">
              <w:rPr>
                <w:rFonts w:ascii="Times New Roman" w:hAnsi="Times New Roman" w:cs="Times New Roman"/>
                <w:noProof/>
                <w:webHidden/>
                <w:sz w:val="24"/>
              </w:rPr>
              <w:instrText xml:space="preserve"> PAGEREF _Toc512116436 \h </w:instrText>
            </w:r>
            <w:r w:rsidRPr="00415C05">
              <w:rPr>
                <w:rFonts w:ascii="Times New Roman" w:hAnsi="Times New Roman" w:cs="Times New Roman"/>
                <w:noProof/>
                <w:webHidden/>
                <w:sz w:val="24"/>
              </w:rPr>
            </w:r>
            <w:r w:rsidRPr="00415C05">
              <w:rPr>
                <w:rFonts w:ascii="Times New Roman" w:hAnsi="Times New Roman" w:cs="Times New Roman"/>
                <w:noProof/>
                <w:webHidden/>
                <w:sz w:val="24"/>
              </w:rPr>
              <w:fldChar w:fldCharType="separate"/>
            </w:r>
            <w:r w:rsidRPr="00415C05">
              <w:rPr>
                <w:rFonts w:ascii="Times New Roman" w:hAnsi="Times New Roman" w:cs="Times New Roman"/>
                <w:noProof/>
                <w:webHidden/>
                <w:sz w:val="24"/>
              </w:rPr>
              <w:t>1</w:t>
            </w:r>
            <w:r w:rsidRPr="00415C05">
              <w:rPr>
                <w:rFonts w:ascii="Times New Roman" w:hAnsi="Times New Roman" w:cs="Times New Roman"/>
                <w:noProof/>
                <w:webHidden/>
                <w:sz w:val="24"/>
              </w:rPr>
              <w:fldChar w:fldCharType="end"/>
            </w:r>
          </w:hyperlink>
          <w:r>
            <w:rPr>
              <w:rStyle w:val="ab"/>
              <w:rFonts w:ascii="Times New Roman" w:hAnsi="Times New Roman" w:cs="Times New Roman" w:hint="eastAsia"/>
              <w:noProof/>
              <w:sz w:val="24"/>
            </w:rPr>
            <w:t>7</w:t>
          </w:r>
        </w:p>
        <w:p w:rsidR="00415C05" w:rsidRDefault="00415C05" w:rsidP="00DF6657">
          <w:pPr>
            <w:pStyle w:val="11"/>
            <w:rPr>
              <w:rFonts w:asciiTheme="minorHAnsi" w:eastAsiaTheme="minorEastAsia" w:hAnsiTheme="minorHAnsi" w:cstheme="minorBidi"/>
              <w:sz w:val="21"/>
            </w:rPr>
          </w:pPr>
          <w:hyperlink w:anchor="_Toc512116440" w:history="1">
            <w:r w:rsidRPr="002B3D2F">
              <w:rPr>
                <w:rStyle w:val="ab"/>
              </w:rPr>
              <w:t>八、结论</w:t>
            </w:r>
            <w:r>
              <w:rPr>
                <w:webHidden/>
              </w:rPr>
              <w:tab/>
            </w:r>
            <w:r>
              <w:rPr>
                <w:webHidden/>
              </w:rPr>
              <w:fldChar w:fldCharType="begin"/>
            </w:r>
            <w:r>
              <w:rPr>
                <w:webHidden/>
              </w:rPr>
              <w:instrText xml:space="preserve"> PAGEREF _Toc512116440 \h </w:instrText>
            </w:r>
            <w:r>
              <w:rPr>
                <w:webHidden/>
              </w:rPr>
            </w:r>
            <w:r>
              <w:rPr>
                <w:webHidden/>
              </w:rPr>
              <w:fldChar w:fldCharType="separate"/>
            </w:r>
            <w:r>
              <w:rPr>
                <w:webHidden/>
              </w:rPr>
              <w:t>18</w:t>
            </w:r>
            <w:r>
              <w:rPr>
                <w:webHidden/>
              </w:rPr>
              <w:fldChar w:fldCharType="end"/>
            </w:r>
          </w:hyperlink>
        </w:p>
        <w:p w:rsidR="00415C05" w:rsidRPr="00415C05" w:rsidRDefault="006C0670" w:rsidP="00415C05">
          <w:pPr>
            <w:rPr>
              <w:rFonts w:hint="eastAsia"/>
            </w:rPr>
          </w:pPr>
          <w:r w:rsidRPr="009A3388">
            <w:rPr>
              <w:rFonts w:ascii="Times New Roman" w:hAnsi="Times New Roman" w:cs="Times New Roman"/>
              <w:b/>
              <w:bCs/>
              <w:lang w:val="zh-CN"/>
            </w:rPr>
            <w:lastRenderedPageBreak/>
            <w:fldChar w:fldCharType="end"/>
          </w:r>
        </w:p>
      </w:sdtContent>
    </w:sdt>
    <w:bookmarkStart w:id="2" w:name="_Toc512116416" w:displacedByCustomXml="prev"/>
    <w:p w:rsidR="006F39B1" w:rsidRDefault="006F39B1" w:rsidP="00F709B5">
      <w:pPr>
        <w:pStyle w:val="1"/>
        <w:spacing w:before="0" w:after="0" w:line="360" w:lineRule="auto"/>
        <w:rPr>
          <w:rFonts w:ascii="Times New Roman" w:hAnsi="Times New Roman" w:cs="Times New Roman"/>
          <w:color w:val="000000" w:themeColor="text1"/>
        </w:rPr>
      </w:pPr>
      <w:r>
        <w:rPr>
          <w:rFonts w:ascii="Times New Roman" w:hAnsi="Times New Roman" w:cs="Times New Roman" w:hint="eastAsia"/>
          <w:color w:val="000000" w:themeColor="text1"/>
        </w:rPr>
        <w:t>一、摘要</w:t>
      </w:r>
      <w:bookmarkEnd w:id="2"/>
    </w:p>
    <w:p w:rsidR="006F39B1" w:rsidRDefault="006F39B1" w:rsidP="00F709B5">
      <w:pPr>
        <w:spacing w:line="360" w:lineRule="auto"/>
        <w:ind w:firstLineChars="200" w:firstLine="420"/>
        <w:rPr>
          <w:rFonts w:ascii="Times New Roman" w:hAnsi="Times New Roman" w:cs="Times New Roman"/>
        </w:rPr>
      </w:pPr>
      <w:r w:rsidRPr="006F39B1">
        <w:rPr>
          <w:rFonts w:ascii="Times New Roman" w:hAnsi="Times New Roman" w:cs="Times New Roman"/>
        </w:rPr>
        <w:t>以运用投资组合理论制定量化策略</w:t>
      </w:r>
      <w:r w:rsidR="00883D8A" w:rsidRPr="006F39B1">
        <w:rPr>
          <w:rFonts w:ascii="Times New Roman" w:hAnsi="Times New Roman" w:cs="Times New Roman"/>
        </w:rPr>
        <w:t>（</w:t>
      </w:r>
      <w:r w:rsidR="00883D8A" w:rsidRPr="006F39B1">
        <w:rPr>
          <w:rFonts w:ascii="Times New Roman" w:hAnsi="Times New Roman" w:cs="Times New Roman"/>
        </w:rPr>
        <w:t>Utilize portfolio theory to develop a quantitative policy</w:t>
      </w:r>
      <w:r w:rsidR="00883D8A" w:rsidRPr="006F39B1">
        <w:rPr>
          <w:rFonts w:ascii="Times New Roman" w:hAnsi="Times New Roman" w:cs="Times New Roman"/>
        </w:rPr>
        <w:t>）</w:t>
      </w:r>
      <w:r w:rsidRPr="006F39B1">
        <w:rPr>
          <w:rFonts w:ascii="Times New Roman" w:hAnsi="Times New Roman" w:cs="Times New Roman"/>
        </w:rPr>
        <w:t>为目标，我们展开了一系列准备工作</w:t>
      </w:r>
      <w:r w:rsidR="00883D8A">
        <w:rPr>
          <w:rFonts w:ascii="Times New Roman" w:hAnsi="Times New Roman" w:cs="Times New Roman" w:hint="eastAsia"/>
        </w:rPr>
        <w:t>，</w:t>
      </w:r>
      <w:r w:rsidRPr="006F39B1">
        <w:rPr>
          <w:rFonts w:ascii="Times New Roman" w:hAnsi="Times New Roman" w:cs="Times New Roman"/>
        </w:rPr>
        <w:t>包括均值</w:t>
      </w:r>
      <w:r w:rsidRPr="006F39B1">
        <w:rPr>
          <w:rFonts w:ascii="Times New Roman" w:hAnsi="Times New Roman" w:cs="Times New Roman"/>
        </w:rPr>
        <w:t>-</w:t>
      </w:r>
      <w:r w:rsidRPr="006F39B1">
        <w:rPr>
          <w:rFonts w:ascii="Times New Roman" w:hAnsi="Times New Roman" w:cs="Times New Roman"/>
        </w:rPr>
        <w:t>方差最优化理论和</w:t>
      </w:r>
      <w:r w:rsidRPr="006F39B1">
        <w:rPr>
          <w:rFonts w:ascii="Times New Roman" w:hAnsi="Times New Roman" w:cs="Times New Roman"/>
        </w:rPr>
        <w:t>CAPM</w:t>
      </w:r>
      <w:r w:rsidRPr="006F39B1">
        <w:rPr>
          <w:rFonts w:ascii="Times New Roman" w:hAnsi="Times New Roman" w:cs="Times New Roman"/>
        </w:rPr>
        <w:t>模型的推导构建，以及将</w:t>
      </w:r>
      <w:r w:rsidRPr="006F39B1">
        <w:rPr>
          <w:rFonts w:ascii="Times New Roman" w:hAnsi="Times New Roman" w:cs="Times New Roman"/>
        </w:rPr>
        <w:t>2017</w:t>
      </w:r>
      <w:r w:rsidRPr="006F39B1">
        <w:rPr>
          <w:rFonts w:ascii="Times New Roman" w:hAnsi="Times New Roman" w:cs="Times New Roman"/>
        </w:rPr>
        <w:t>年</w:t>
      </w:r>
      <w:r w:rsidRPr="006F39B1">
        <w:rPr>
          <w:rFonts w:ascii="Times New Roman" w:hAnsi="Times New Roman" w:cs="Times New Roman"/>
        </w:rPr>
        <w:t>3</w:t>
      </w:r>
      <w:r w:rsidRPr="006F39B1">
        <w:rPr>
          <w:rFonts w:ascii="Times New Roman" w:hAnsi="Times New Roman" w:cs="Times New Roman"/>
        </w:rPr>
        <w:t>月至</w:t>
      </w:r>
      <w:r w:rsidRPr="006F39B1">
        <w:rPr>
          <w:rFonts w:ascii="Times New Roman" w:hAnsi="Times New Roman" w:cs="Times New Roman"/>
        </w:rPr>
        <w:t>2018</w:t>
      </w:r>
      <w:r w:rsidRPr="006F39B1">
        <w:rPr>
          <w:rFonts w:ascii="Times New Roman" w:hAnsi="Times New Roman" w:cs="Times New Roman"/>
        </w:rPr>
        <w:t>年</w:t>
      </w:r>
      <w:r w:rsidRPr="006F39B1">
        <w:rPr>
          <w:rFonts w:ascii="Times New Roman" w:hAnsi="Times New Roman" w:cs="Times New Roman"/>
        </w:rPr>
        <w:t>2</w:t>
      </w:r>
      <w:r w:rsidRPr="006F39B1">
        <w:rPr>
          <w:rFonts w:ascii="Times New Roman" w:hAnsi="Times New Roman" w:cs="Times New Roman"/>
        </w:rPr>
        <w:t>月间上证</w:t>
      </w:r>
      <w:r w:rsidRPr="006F39B1">
        <w:rPr>
          <w:rFonts w:ascii="Times New Roman" w:hAnsi="Times New Roman" w:cs="Times New Roman"/>
        </w:rPr>
        <w:t>A</w:t>
      </w:r>
      <w:r w:rsidRPr="006F39B1">
        <w:rPr>
          <w:rFonts w:ascii="Times New Roman" w:hAnsi="Times New Roman" w:cs="Times New Roman"/>
        </w:rPr>
        <w:t>股随机代入到</w:t>
      </w:r>
      <w:r w:rsidRPr="006F39B1">
        <w:rPr>
          <w:rFonts w:ascii="Times New Roman" w:hAnsi="Times New Roman" w:cs="Times New Roman"/>
        </w:rPr>
        <w:t>CAPM</w:t>
      </w:r>
      <w:r w:rsidRPr="006F39B1">
        <w:rPr>
          <w:rFonts w:ascii="Times New Roman" w:hAnsi="Times New Roman" w:cs="Times New Roman"/>
        </w:rPr>
        <w:t>理论模型的拟合检验，发现股票的实际与理论价值间存在较大差异，因而存在通过调整投资策略获取超额回报的机会。</w:t>
      </w:r>
    </w:p>
    <w:p w:rsidR="006F39B1" w:rsidRDefault="006F39B1" w:rsidP="00F709B5">
      <w:pPr>
        <w:spacing w:line="360" w:lineRule="auto"/>
        <w:ind w:firstLineChars="200" w:firstLine="420"/>
        <w:rPr>
          <w:rFonts w:ascii="Times New Roman" w:hAnsi="Times New Roman" w:cs="Times New Roman"/>
        </w:rPr>
      </w:pPr>
      <w:r w:rsidRPr="006F39B1">
        <w:rPr>
          <w:rFonts w:ascii="Times New Roman" w:hAnsi="Times New Roman" w:cs="Times New Roman"/>
        </w:rPr>
        <w:t>据此，我们筛选出</w:t>
      </w:r>
      <w:r w:rsidRPr="006F39B1">
        <w:rPr>
          <w:rFonts w:ascii="Times New Roman" w:hAnsi="Times New Roman" w:cs="Times New Roman"/>
        </w:rPr>
        <w:t>2018</w:t>
      </w:r>
      <w:r w:rsidRPr="006F39B1">
        <w:rPr>
          <w:rFonts w:ascii="Times New Roman" w:hAnsi="Times New Roman" w:cs="Times New Roman"/>
        </w:rPr>
        <w:t>年</w:t>
      </w:r>
      <w:r w:rsidRPr="006F39B1">
        <w:rPr>
          <w:rFonts w:ascii="Times New Roman" w:hAnsi="Times New Roman" w:cs="Times New Roman"/>
        </w:rPr>
        <w:t>2</w:t>
      </w:r>
      <w:r w:rsidRPr="006F39B1">
        <w:rPr>
          <w:rFonts w:ascii="Times New Roman" w:hAnsi="Times New Roman" w:cs="Times New Roman"/>
        </w:rPr>
        <w:t>月上证</w:t>
      </w:r>
      <w:r w:rsidRPr="006F39B1">
        <w:rPr>
          <w:rFonts w:ascii="Times New Roman" w:hAnsi="Times New Roman" w:cs="Times New Roman"/>
        </w:rPr>
        <w:t>A</w:t>
      </w:r>
      <w:r w:rsidRPr="006F39B1">
        <w:rPr>
          <w:rFonts w:ascii="Times New Roman" w:hAnsi="Times New Roman" w:cs="Times New Roman"/>
        </w:rPr>
        <w:t>股被低估的排名前</w:t>
      </w:r>
      <w:r w:rsidRPr="006F39B1">
        <w:rPr>
          <w:rFonts w:ascii="Times New Roman" w:hAnsi="Times New Roman" w:cs="Times New Roman"/>
        </w:rPr>
        <w:t>10</w:t>
      </w:r>
      <w:r w:rsidRPr="006F39B1">
        <w:rPr>
          <w:rFonts w:ascii="Times New Roman" w:hAnsi="Times New Roman" w:cs="Times New Roman"/>
        </w:rPr>
        <w:t>只股票作为股票池</w:t>
      </w:r>
      <w:r w:rsidRPr="006F39B1">
        <w:rPr>
          <w:rFonts w:ascii="Times New Roman" w:hAnsi="Times New Roman" w:cs="Times New Roman"/>
        </w:rPr>
        <w:t>pool</w:t>
      </w:r>
      <w:r w:rsidRPr="006F39B1">
        <w:rPr>
          <w:rFonts w:ascii="Times New Roman" w:hAnsi="Times New Roman" w:cs="Times New Roman"/>
        </w:rPr>
        <w:t>，代入</w:t>
      </w:r>
      <w:r w:rsidRPr="006F39B1">
        <w:rPr>
          <w:rFonts w:ascii="Times New Roman" w:hAnsi="Times New Roman" w:cs="Times New Roman"/>
        </w:rPr>
        <w:t>“</w:t>
      </w:r>
      <w:r w:rsidRPr="006F39B1">
        <w:rPr>
          <w:rFonts w:ascii="Times New Roman" w:hAnsi="Times New Roman" w:cs="Times New Roman"/>
        </w:rPr>
        <w:t>优矿</w:t>
      </w:r>
      <w:r w:rsidRPr="006F39B1">
        <w:rPr>
          <w:rFonts w:ascii="Times New Roman" w:hAnsi="Times New Roman" w:cs="Times New Roman"/>
        </w:rPr>
        <w:t>”</w:t>
      </w:r>
      <w:r w:rsidRPr="006F39B1">
        <w:rPr>
          <w:rFonts w:ascii="Times New Roman" w:hAnsi="Times New Roman" w:cs="Times New Roman"/>
        </w:rPr>
        <w:t>（量化平台）进行</w:t>
      </w:r>
      <w:r w:rsidRPr="006F39B1">
        <w:rPr>
          <w:rFonts w:ascii="Times New Roman" w:hAnsi="Times New Roman" w:cs="Times New Roman"/>
        </w:rPr>
        <w:t>3</w:t>
      </w:r>
      <w:r w:rsidRPr="006F39B1">
        <w:rPr>
          <w:rFonts w:ascii="Times New Roman" w:hAnsi="Times New Roman" w:cs="Times New Roman"/>
        </w:rPr>
        <w:t>月的策略回测。</w:t>
      </w:r>
      <w:proofErr w:type="gramStart"/>
      <w:r w:rsidRPr="006F39B1">
        <w:rPr>
          <w:rFonts w:ascii="Times New Roman" w:hAnsi="Times New Roman" w:cs="Times New Roman"/>
        </w:rPr>
        <w:t>回测结果</w:t>
      </w:r>
      <w:proofErr w:type="gramEnd"/>
      <w:r w:rsidRPr="006F39B1">
        <w:rPr>
          <w:rFonts w:ascii="Times New Roman" w:hAnsi="Times New Roman" w:cs="Times New Roman"/>
        </w:rPr>
        <w:t>显示：在</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1</w:t>
      </w:r>
      <w:r w:rsidRPr="006F39B1">
        <w:rPr>
          <w:rFonts w:ascii="Times New Roman" w:hAnsi="Times New Roman" w:cs="Times New Roman"/>
        </w:rPr>
        <w:t>日至</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14</w:t>
      </w:r>
      <w:r w:rsidRPr="006F39B1">
        <w:rPr>
          <w:rFonts w:ascii="Times New Roman" w:hAnsi="Times New Roman" w:cs="Times New Roman"/>
        </w:rPr>
        <w:t>日，及</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24</w:t>
      </w:r>
      <w:r w:rsidRPr="006F39B1">
        <w:rPr>
          <w:rFonts w:ascii="Times New Roman" w:hAnsi="Times New Roman" w:cs="Times New Roman"/>
        </w:rPr>
        <w:t>日至</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31</w:t>
      </w:r>
      <w:r w:rsidRPr="006F39B1">
        <w:rPr>
          <w:rFonts w:ascii="Times New Roman" w:hAnsi="Times New Roman" w:cs="Times New Roman"/>
        </w:rPr>
        <w:t>日的交易日期间，策略收益率落在基准收益率上方（累计收益率最高在</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7</w:t>
      </w:r>
      <w:r w:rsidRPr="006F39B1">
        <w:rPr>
          <w:rFonts w:ascii="Times New Roman" w:hAnsi="Times New Roman" w:cs="Times New Roman"/>
        </w:rPr>
        <w:t>日达到</w:t>
      </w:r>
      <w:r w:rsidRPr="006F39B1">
        <w:rPr>
          <w:rFonts w:ascii="Times New Roman" w:hAnsi="Times New Roman" w:cs="Times New Roman"/>
        </w:rPr>
        <w:t>11.10%</w:t>
      </w:r>
      <w:r w:rsidRPr="006F39B1">
        <w:rPr>
          <w:rFonts w:ascii="Times New Roman" w:hAnsi="Times New Roman" w:cs="Times New Roman"/>
        </w:rPr>
        <w:t>，沪深</w:t>
      </w:r>
      <w:r w:rsidRPr="006F39B1">
        <w:rPr>
          <w:rFonts w:ascii="Times New Roman" w:hAnsi="Times New Roman" w:cs="Times New Roman"/>
        </w:rPr>
        <w:t>300</w:t>
      </w:r>
      <w:r w:rsidRPr="006F39B1">
        <w:rPr>
          <w:rFonts w:ascii="Times New Roman" w:hAnsi="Times New Roman" w:cs="Times New Roman"/>
        </w:rPr>
        <w:t>仅为</w:t>
      </w:r>
      <w:r w:rsidRPr="006F39B1">
        <w:rPr>
          <w:rFonts w:ascii="Times New Roman" w:hAnsi="Times New Roman" w:cs="Times New Roman"/>
        </w:rPr>
        <w:t>0.32%</w:t>
      </w:r>
      <w:r w:rsidRPr="006F39B1">
        <w:rPr>
          <w:rFonts w:ascii="Times New Roman" w:hAnsi="Times New Roman" w:cs="Times New Roman"/>
        </w:rPr>
        <w:t>），此时选择激进策略</w:t>
      </w:r>
      <w:r w:rsidRPr="006F39B1">
        <w:rPr>
          <w:rFonts w:ascii="Times New Roman" w:hAnsi="Times New Roman" w:cs="Times New Roman"/>
        </w:rPr>
        <w:t>A</w:t>
      </w:r>
      <w:r w:rsidRPr="006F39B1">
        <w:rPr>
          <w:rFonts w:ascii="Times New Roman" w:hAnsi="Times New Roman" w:cs="Times New Roman"/>
        </w:rPr>
        <w:t>；在</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15</w:t>
      </w:r>
      <w:r w:rsidRPr="006F39B1">
        <w:rPr>
          <w:rFonts w:ascii="Times New Roman" w:hAnsi="Times New Roman" w:cs="Times New Roman"/>
        </w:rPr>
        <w:t>日至</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23</w:t>
      </w:r>
      <w:r w:rsidRPr="006F39B1">
        <w:rPr>
          <w:rFonts w:ascii="Times New Roman" w:hAnsi="Times New Roman" w:cs="Times New Roman"/>
        </w:rPr>
        <w:t>日的交易日期间，策略收益率落在基准收益率下方（累计收益率最低在</w:t>
      </w:r>
      <w:r w:rsidRPr="006F39B1">
        <w:rPr>
          <w:rFonts w:ascii="Times New Roman" w:hAnsi="Times New Roman" w:cs="Times New Roman"/>
        </w:rPr>
        <w:t>3</w:t>
      </w:r>
      <w:r w:rsidRPr="006F39B1">
        <w:rPr>
          <w:rFonts w:ascii="Times New Roman" w:hAnsi="Times New Roman" w:cs="Times New Roman"/>
        </w:rPr>
        <w:t>月</w:t>
      </w:r>
      <w:r w:rsidRPr="006F39B1">
        <w:rPr>
          <w:rFonts w:ascii="Times New Roman" w:hAnsi="Times New Roman" w:cs="Times New Roman"/>
        </w:rPr>
        <w:t>23</w:t>
      </w:r>
      <w:r w:rsidRPr="006F39B1">
        <w:rPr>
          <w:rFonts w:ascii="Times New Roman" w:hAnsi="Times New Roman" w:cs="Times New Roman"/>
        </w:rPr>
        <w:t>日跌至</w:t>
      </w:r>
      <w:r w:rsidR="00C44D1F">
        <w:rPr>
          <w:rFonts w:ascii="Times New Roman" w:eastAsia="微软雅黑" w:hAnsi="Times New Roman" w:cs="Times New Roman" w:hint="eastAsia"/>
        </w:rPr>
        <w:t>-</w:t>
      </w:r>
      <w:r w:rsidRPr="006F39B1">
        <w:rPr>
          <w:rFonts w:ascii="Times New Roman" w:hAnsi="Times New Roman" w:cs="Times New Roman"/>
        </w:rPr>
        <w:t>9.46%</w:t>
      </w:r>
      <w:r w:rsidRPr="006F39B1">
        <w:rPr>
          <w:rFonts w:ascii="Times New Roman" w:hAnsi="Times New Roman" w:cs="Times New Roman"/>
        </w:rPr>
        <w:t>，而沪深</w:t>
      </w:r>
      <w:r w:rsidRPr="006F39B1">
        <w:rPr>
          <w:rFonts w:ascii="Times New Roman" w:hAnsi="Times New Roman" w:cs="Times New Roman"/>
        </w:rPr>
        <w:t>300</w:t>
      </w:r>
      <w:r w:rsidRPr="006F39B1">
        <w:rPr>
          <w:rFonts w:ascii="Times New Roman" w:hAnsi="Times New Roman" w:cs="Times New Roman"/>
        </w:rPr>
        <w:t>有</w:t>
      </w:r>
      <w:r w:rsidR="00C44D1F">
        <w:rPr>
          <w:rFonts w:ascii="Times New Roman" w:eastAsia="微软雅黑" w:hAnsi="Times New Roman" w:cs="Times New Roman" w:hint="eastAsia"/>
        </w:rPr>
        <w:t>-</w:t>
      </w:r>
      <w:r w:rsidRPr="006F39B1">
        <w:rPr>
          <w:rFonts w:ascii="Times New Roman" w:hAnsi="Times New Roman" w:cs="Times New Roman"/>
        </w:rPr>
        <w:t>2.95%</w:t>
      </w:r>
      <w:r w:rsidRPr="006F39B1">
        <w:rPr>
          <w:rFonts w:ascii="Times New Roman" w:hAnsi="Times New Roman" w:cs="Times New Roman"/>
        </w:rPr>
        <w:t>），此时选择保守策略</w:t>
      </w:r>
      <w:r w:rsidRPr="006F39B1">
        <w:rPr>
          <w:rFonts w:ascii="Times New Roman" w:hAnsi="Times New Roman" w:cs="Times New Roman"/>
        </w:rPr>
        <w:t>B</w:t>
      </w:r>
      <w:r w:rsidRPr="006F39B1">
        <w:rPr>
          <w:rFonts w:ascii="Times New Roman" w:hAnsi="Times New Roman" w:cs="Times New Roman"/>
        </w:rPr>
        <w:t>。</w:t>
      </w:r>
    </w:p>
    <w:p w:rsidR="006F39B1" w:rsidRDefault="006F39B1" w:rsidP="00F709B5">
      <w:pPr>
        <w:spacing w:line="360" w:lineRule="auto"/>
        <w:jc w:val="center"/>
        <w:rPr>
          <w:rFonts w:ascii="Times New Roman" w:hAnsi="Times New Roman" w:cs="Times New Roman" w:hint="eastAsia"/>
        </w:rPr>
      </w:pPr>
      <w:r>
        <w:rPr>
          <w:rFonts w:ascii="Times New Roman" w:hAnsi="Times New Roman" w:cs="Times New Roman" w:hint="eastAsia"/>
        </w:rPr>
        <w:t>表</w:t>
      </w:r>
      <w:r>
        <w:rPr>
          <w:rFonts w:ascii="Times New Roman" w:hAnsi="Times New Roman" w:cs="Times New Roman" w:hint="eastAsia"/>
        </w:rPr>
        <w:t>1-1</w:t>
      </w:r>
      <w:r>
        <w:rPr>
          <w:rFonts w:ascii="Times New Roman" w:hAnsi="Times New Roman" w:cs="Times New Roman"/>
        </w:rPr>
        <w:t xml:space="preserve">  </w:t>
      </w:r>
      <w:r>
        <w:rPr>
          <w:rFonts w:ascii="Times New Roman" w:hAnsi="Times New Roman" w:cs="Times New Roman" w:hint="eastAsia"/>
        </w:rPr>
        <w:t>投资策略</w:t>
      </w:r>
    </w:p>
    <w:tbl>
      <w:tblPr>
        <w:tblStyle w:val="21"/>
        <w:tblW w:w="0" w:type="auto"/>
        <w:tblBorders>
          <w:top w:val="single" w:sz="12" w:space="0" w:color="000000" w:themeColor="text1"/>
          <w:bottom w:val="single" w:sz="12" w:space="0" w:color="000000" w:themeColor="text1"/>
          <w:insideH w:val="single" w:sz="8" w:space="0" w:color="000000" w:themeColor="text1"/>
        </w:tblBorders>
        <w:tblLook w:val="04A0" w:firstRow="1" w:lastRow="0" w:firstColumn="1" w:lastColumn="0" w:noHBand="0" w:noVBand="1"/>
      </w:tblPr>
      <w:tblGrid>
        <w:gridCol w:w="4148"/>
        <w:gridCol w:w="4148"/>
      </w:tblGrid>
      <w:tr w:rsidR="006F39B1" w:rsidTr="006F3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bottom w:val="none" w:sz="0" w:space="0" w:color="auto"/>
            </w:tcBorders>
            <w:vAlign w:val="center"/>
          </w:tcPr>
          <w:p w:rsidR="006F39B1" w:rsidRDefault="006F39B1" w:rsidP="00F709B5">
            <w:pPr>
              <w:spacing w:line="360" w:lineRule="auto"/>
              <w:jc w:val="center"/>
              <w:rPr>
                <w:rFonts w:ascii="Times New Roman" w:hAnsi="Times New Roman" w:cs="Times New Roman" w:hint="eastAsia"/>
              </w:rPr>
            </w:pPr>
            <w:r w:rsidRPr="006F39B1">
              <w:rPr>
                <w:rFonts w:ascii="Times New Roman" w:hAnsi="Times New Roman" w:cs="Times New Roman"/>
              </w:rPr>
              <w:t>激进策略</w:t>
            </w:r>
            <w:r w:rsidRPr="006F39B1">
              <w:rPr>
                <w:rFonts w:ascii="Times New Roman" w:hAnsi="Times New Roman" w:cs="Times New Roman"/>
              </w:rPr>
              <w:t>A</w:t>
            </w:r>
          </w:p>
        </w:tc>
        <w:tc>
          <w:tcPr>
            <w:tcW w:w="4148" w:type="dxa"/>
            <w:tcBorders>
              <w:bottom w:val="none" w:sz="0" w:space="0" w:color="auto"/>
            </w:tcBorders>
            <w:vAlign w:val="center"/>
          </w:tcPr>
          <w:p w:rsidR="006F39B1" w:rsidRPr="006F39B1" w:rsidRDefault="006F39B1" w:rsidP="00F709B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rPr>
            </w:pPr>
            <w:r w:rsidRPr="006F39B1">
              <w:rPr>
                <w:rFonts w:ascii="Times New Roman" w:hAnsi="Times New Roman" w:cs="Times New Roman" w:hint="eastAsia"/>
                <w:b w:val="0"/>
              </w:rPr>
              <w:t>依照策略的下单指示，动态调整股票池</w:t>
            </w:r>
            <w:r w:rsidRPr="006F39B1">
              <w:rPr>
                <w:rFonts w:ascii="Times New Roman" w:hAnsi="Times New Roman" w:cs="Times New Roman"/>
                <w:b w:val="0"/>
              </w:rPr>
              <w:t>pool</w:t>
            </w:r>
            <w:proofErr w:type="gramStart"/>
            <w:r w:rsidRPr="006F39B1">
              <w:rPr>
                <w:rFonts w:ascii="Times New Roman" w:hAnsi="Times New Roman" w:cs="Times New Roman"/>
                <w:b w:val="0"/>
              </w:rPr>
              <w:t>中证券</w:t>
            </w:r>
            <w:proofErr w:type="gramEnd"/>
            <w:r w:rsidRPr="006F39B1">
              <w:rPr>
                <w:rFonts w:ascii="Times New Roman" w:hAnsi="Times New Roman" w:cs="Times New Roman"/>
                <w:b w:val="0"/>
              </w:rPr>
              <w:t>的头寸，以获得超额回报</w:t>
            </w:r>
            <w:r>
              <w:rPr>
                <w:rFonts w:ascii="Times New Roman" w:hAnsi="Times New Roman" w:cs="Times New Roman" w:hint="eastAsia"/>
                <w:b w:val="0"/>
              </w:rPr>
              <w:t>。</w:t>
            </w:r>
          </w:p>
        </w:tc>
      </w:tr>
      <w:tr w:rsidR="006F39B1" w:rsidTr="006F3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tcBorders>
            <w:vAlign w:val="center"/>
          </w:tcPr>
          <w:p w:rsidR="006F39B1" w:rsidRDefault="006F39B1" w:rsidP="00F709B5">
            <w:pPr>
              <w:spacing w:line="360" w:lineRule="auto"/>
              <w:jc w:val="center"/>
              <w:rPr>
                <w:rFonts w:ascii="Times New Roman" w:hAnsi="Times New Roman" w:cs="Times New Roman" w:hint="eastAsia"/>
              </w:rPr>
            </w:pPr>
            <w:r w:rsidRPr="006F39B1">
              <w:rPr>
                <w:rFonts w:ascii="Times New Roman" w:hAnsi="Times New Roman" w:cs="Times New Roman"/>
              </w:rPr>
              <w:t>保守策略</w:t>
            </w:r>
            <w:r w:rsidRPr="006F39B1">
              <w:rPr>
                <w:rFonts w:ascii="Times New Roman" w:hAnsi="Times New Roman" w:cs="Times New Roman"/>
              </w:rPr>
              <w:t>B</w:t>
            </w:r>
          </w:p>
        </w:tc>
        <w:tc>
          <w:tcPr>
            <w:tcW w:w="4148" w:type="dxa"/>
            <w:tcBorders>
              <w:top w:val="none" w:sz="0" w:space="0" w:color="auto"/>
              <w:bottom w:val="none" w:sz="0" w:space="0" w:color="auto"/>
            </w:tcBorders>
            <w:vAlign w:val="center"/>
          </w:tcPr>
          <w:p w:rsidR="006F39B1" w:rsidRPr="006F39B1" w:rsidRDefault="006F39B1" w:rsidP="00F709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sidRPr="006F39B1">
              <w:rPr>
                <w:rFonts w:ascii="Times New Roman" w:hAnsi="Times New Roman" w:cs="Times New Roman" w:hint="eastAsia"/>
              </w:rPr>
              <w:t>从股票池</w:t>
            </w:r>
            <w:r w:rsidRPr="006F39B1">
              <w:rPr>
                <w:rFonts w:ascii="Times New Roman" w:hAnsi="Times New Roman" w:cs="Times New Roman"/>
              </w:rPr>
              <w:t>pool</w:t>
            </w:r>
            <w:r w:rsidRPr="006F39B1">
              <w:rPr>
                <w:rFonts w:ascii="Times New Roman" w:hAnsi="Times New Roman" w:cs="Times New Roman"/>
              </w:rPr>
              <w:t>中二次筛选出</w:t>
            </w:r>
            <w:r w:rsidRPr="006F39B1">
              <w:rPr>
                <w:rFonts w:ascii="Times New Roman" w:hAnsi="Times New Roman" w:cs="Times New Roman"/>
              </w:rPr>
              <w:t>3</w:t>
            </w:r>
            <w:r w:rsidRPr="006F39B1">
              <w:rPr>
                <w:rFonts w:ascii="Times New Roman" w:hAnsi="Times New Roman" w:cs="Times New Roman"/>
              </w:rPr>
              <w:t>月交易数据齐全且有高于市场表现的</w:t>
            </w:r>
            <w:r w:rsidRPr="006F39B1">
              <w:rPr>
                <w:rFonts w:ascii="Times New Roman" w:hAnsi="Times New Roman" w:cs="Times New Roman"/>
              </w:rPr>
              <w:t>3</w:t>
            </w:r>
            <w:r w:rsidRPr="006F39B1">
              <w:rPr>
                <w:rFonts w:ascii="Times New Roman" w:hAnsi="Times New Roman" w:cs="Times New Roman"/>
              </w:rPr>
              <w:t>只股票作为投资组合</w:t>
            </w:r>
            <w:r w:rsidRPr="006F39B1">
              <w:rPr>
                <w:rFonts w:ascii="Times New Roman" w:hAnsi="Times New Roman" w:cs="Times New Roman"/>
              </w:rPr>
              <w:t>portfolio</w:t>
            </w:r>
            <w:r w:rsidRPr="006F39B1">
              <w:rPr>
                <w:rFonts w:ascii="Times New Roman" w:hAnsi="Times New Roman" w:cs="Times New Roman"/>
              </w:rPr>
              <w:t>，并按由均值</w:t>
            </w:r>
            <w:r w:rsidRPr="006F39B1">
              <w:rPr>
                <w:rFonts w:ascii="Times New Roman" w:hAnsi="Times New Roman" w:cs="Times New Roman"/>
              </w:rPr>
              <w:t>-</w:t>
            </w:r>
            <w:r w:rsidRPr="006F39B1">
              <w:rPr>
                <w:rFonts w:ascii="Times New Roman" w:hAnsi="Times New Roman" w:cs="Times New Roman"/>
              </w:rPr>
              <w:t>方差最优化模型确定出的最优风险权重持有，以获得无风险回报。</w:t>
            </w:r>
          </w:p>
        </w:tc>
      </w:tr>
    </w:tbl>
    <w:p w:rsidR="006F39B1" w:rsidRDefault="006F39B1" w:rsidP="00F709B5">
      <w:pPr>
        <w:spacing w:line="360" w:lineRule="auto"/>
        <w:rPr>
          <w:rFonts w:ascii="Times New Roman" w:hAnsi="Times New Roman" w:cs="Times New Roman" w:hint="eastAsia"/>
        </w:rPr>
      </w:pPr>
    </w:p>
    <w:p w:rsidR="0041327F" w:rsidRPr="00F948AC" w:rsidRDefault="006F39B1" w:rsidP="00F709B5">
      <w:pPr>
        <w:pStyle w:val="1"/>
        <w:spacing w:before="0" w:after="0" w:line="360" w:lineRule="auto"/>
        <w:rPr>
          <w:rFonts w:ascii="Times New Roman" w:hAnsi="Times New Roman" w:cs="Times New Roman"/>
          <w:color w:val="000000" w:themeColor="text1"/>
        </w:rPr>
      </w:pPr>
      <w:bookmarkStart w:id="3" w:name="_Toc512116417"/>
      <w:r>
        <w:rPr>
          <w:rFonts w:ascii="Times New Roman" w:hAnsi="Times New Roman" w:cs="Times New Roman" w:hint="eastAsia"/>
          <w:color w:val="000000" w:themeColor="text1"/>
        </w:rPr>
        <w:t>二</w:t>
      </w:r>
      <w:r w:rsidR="0026652A" w:rsidRPr="00F948AC">
        <w:rPr>
          <w:rFonts w:ascii="Times New Roman" w:hAnsi="Times New Roman" w:cs="Times New Roman"/>
          <w:color w:val="000000" w:themeColor="text1"/>
        </w:rPr>
        <w:t>、理论推导与模型构建</w:t>
      </w:r>
      <w:bookmarkEnd w:id="3"/>
    </w:p>
    <w:p w:rsidR="0041327F" w:rsidRPr="00F948AC" w:rsidRDefault="0041327F" w:rsidP="00F709B5">
      <w:pPr>
        <w:pStyle w:val="2"/>
        <w:spacing w:before="0" w:after="0" w:line="360" w:lineRule="auto"/>
        <w:rPr>
          <w:rFonts w:ascii="Times New Roman" w:hAnsi="Times New Roman" w:cs="Times New Roman"/>
        </w:rPr>
      </w:pPr>
      <w:bookmarkStart w:id="4" w:name="_Toc512116418"/>
      <w:r w:rsidRPr="00F948AC">
        <w:rPr>
          <w:rFonts w:ascii="Times New Roman" w:hAnsi="Times New Roman" w:cs="Times New Roman"/>
        </w:rPr>
        <w:t>（一）马科维茨的均值</w:t>
      </w:r>
      <w:r w:rsidRPr="00F948AC">
        <w:rPr>
          <w:rFonts w:ascii="Times New Roman" w:hAnsi="Times New Roman" w:cs="Times New Roman"/>
        </w:rPr>
        <w:t>-</w:t>
      </w:r>
      <w:r w:rsidRPr="00F948AC">
        <w:rPr>
          <w:rFonts w:ascii="Times New Roman" w:hAnsi="Times New Roman" w:cs="Times New Roman"/>
        </w:rPr>
        <w:t>方差最优化理论</w:t>
      </w:r>
      <w:bookmarkEnd w:id="4"/>
    </w:p>
    <w:p w:rsidR="00DE5462" w:rsidRPr="00415C05" w:rsidRDefault="00DE5462" w:rsidP="00F709B5">
      <w:pPr>
        <w:spacing w:line="360" w:lineRule="auto"/>
        <w:jc w:val="left"/>
        <w:rPr>
          <w:rFonts w:ascii="Times New Roman" w:hAnsi="Times New Roman" w:cs="Times New Roman"/>
          <w:b/>
          <w:color w:val="000000" w:themeColor="text1"/>
        </w:rPr>
      </w:pPr>
      <w:r w:rsidRPr="00415C05">
        <w:rPr>
          <w:rFonts w:ascii="Times New Roman" w:hAnsi="Times New Roman" w:cs="Times New Roman"/>
          <w:b/>
          <w:color w:val="000000" w:themeColor="text1"/>
        </w:rPr>
        <w:t>1</w:t>
      </w:r>
      <w:r w:rsidR="00F13A5C" w:rsidRPr="00415C05">
        <w:rPr>
          <w:rFonts w:ascii="Times New Roman" w:hAnsi="Times New Roman" w:cs="Times New Roman"/>
          <w:b/>
          <w:color w:val="000000" w:themeColor="text1"/>
        </w:rPr>
        <w:t>．均值</w:t>
      </w:r>
      <w:r w:rsidR="00F13A5C" w:rsidRPr="00415C05">
        <w:rPr>
          <w:rFonts w:ascii="Times New Roman" w:hAnsi="Times New Roman" w:cs="Times New Roman"/>
          <w:b/>
          <w:color w:val="000000" w:themeColor="text1"/>
        </w:rPr>
        <w:t>-</w:t>
      </w:r>
      <w:r w:rsidR="00F13A5C" w:rsidRPr="00415C05">
        <w:rPr>
          <w:rFonts w:ascii="Times New Roman" w:hAnsi="Times New Roman" w:cs="Times New Roman"/>
          <w:b/>
          <w:color w:val="000000" w:themeColor="text1"/>
        </w:rPr>
        <w:t>方差最优化（</w:t>
      </w:r>
      <w:r w:rsidR="00F13A5C" w:rsidRPr="00415C05">
        <w:rPr>
          <w:rFonts w:ascii="Times New Roman" w:hAnsi="Times New Roman" w:cs="Times New Roman"/>
          <w:b/>
          <w:color w:val="000000" w:themeColor="text1"/>
        </w:rPr>
        <w:t>MVO</w:t>
      </w:r>
      <w:r w:rsidR="00F13A5C" w:rsidRPr="00415C05">
        <w:rPr>
          <w:rFonts w:ascii="Times New Roman" w:hAnsi="Times New Roman" w:cs="Times New Roman"/>
          <w:b/>
          <w:color w:val="000000" w:themeColor="text1"/>
        </w:rPr>
        <w:t>）</w:t>
      </w:r>
    </w:p>
    <w:p w:rsidR="00DE5462" w:rsidRPr="00F948AC" w:rsidRDefault="00F948AC" w:rsidP="00F709B5">
      <w:pPr>
        <w:spacing w:line="360" w:lineRule="auto"/>
        <w:jc w:val="left"/>
        <w:rPr>
          <w:rFonts w:ascii="Times New Roman" w:hAnsi="Times New Roman" w:cs="Times New Roman"/>
        </w:rPr>
      </w:pPr>
      <w:r w:rsidRPr="00F948AC">
        <w:rPr>
          <w:rFonts w:ascii="Times New Roman" w:hAnsi="Times New Roman" w:cs="Times New Roman"/>
          <w:position w:val="-20"/>
        </w:rPr>
        <w:object w:dxaOrig="20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26.9pt;height:23.15pt" o:ole="">
            <v:imagedata r:id="rId9" o:title=""/>
          </v:shape>
          <o:OLEObject Type="Embed" ProgID="Equation.DSMT4" ShapeID="_x0000_i1133" DrawAspect="Content" ObjectID="_1585858911" r:id="rId10"/>
        </w:object>
      </w:r>
    </w:p>
    <w:p w:rsidR="00DE5462" w:rsidRPr="00F948AC" w:rsidRDefault="00DE5462" w:rsidP="00F709B5">
      <w:pPr>
        <w:spacing w:line="360" w:lineRule="auto"/>
        <w:jc w:val="left"/>
        <w:rPr>
          <w:rFonts w:ascii="Times New Roman" w:hAnsi="Times New Roman" w:cs="Times New Roman"/>
        </w:rPr>
      </w:pPr>
      <w:r w:rsidRPr="00F948AC">
        <w:rPr>
          <w:rFonts w:ascii="Times New Roman" w:hAnsi="Times New Roman" w:cs="Times New Roman"/>
        </w:rPr>
        <w:t>其中，集合</w:t>
      </w:r>
      <w:r w:rsidRPr="00F948AC">
        <w:rPr>
          <w:rFonts w:ascii="Times New Roman" w:hAnsi="Times New Roman" w:cs="Times New Roman"/>
        </w:rPr>
        <w:t>Ω</w:t>
      </w:r>
      <w:r w:rsidRPr="00F948AC">
        <w:rPr>
          <w:rFonts w:ascii="Times New Roman" w:hAnsi="Times New Roman" w:cs="Times New Roman"/>
        </w:rPr>
        <w:t>定义资产权重</w:t>
      </w:r>
      <w:r w:rsidRPr="00F948AC">
        <w:rPr>
          <w:rFonts w:ascii="Times New Roman" w:hAnsi="Times New Roman" w:cs="Times New Roman"/>
          <w:position w:val="-12"/>
        </w:rPr>
        <w:object w:dxaOrig="260" w:dyaOrig="360">
          <v:shape id="_x0000_i1134" type="#_x0000_t75" style="width:12.85pt;height:18.2pt" o:ole="">
            <v:imagedata r:id="rId11" o:title=""/>
          </v:shape>
          <o:OLEObject Type="Embed" ProgID="Equation.DSMT4" ShapeID="_x0000_i1134" DrawAspect="Content" ObjectID="_1585858912" r:id="rId12"/>
        </w:object>
      </w:r>
      <w:r w:rsidRPr="00F948AC">
        <w:rPr>
          <w:rFonts w:ascii="Times New Roman" w:hAnsi="Times New Roman" w:cs="Times New Roman"/>
        </w:rPr>
        <w:t>的所有可能取值：</w:t>
      </w:r>
    </w:p>
    <w:p w:rsidR="00DE5462" w:rsidRPr="00F948AC" w:rsidRDefault="00DE5462" w:rsidP="00F709B5">
      <w:pPr>
        <w:spacing w:line="360" w:lineRule="auto"/>
        <w:jc w:val="left"/>
        <w:rPr>
          <w:rFonts w:ascii="Times New Roman" w:hAnsi="Times New Roman" w:cs="Times New Roman"/>
        </w:rPr>
      </w:pPr>
      <w:r w:rsidRPr="00F948AC">
        <w:rPr>
          <w:rFonts w:ascii="Times New Roman" w:hAnsi="Times New Roman" w:cs="Times New Roman"/>
        </w:rPr>
        <w:t>如果不允许卖空，</w:t>
      </w:r>
      <w:r w:rsidRPr="00F948AC">
        <w:rPr>
          <w:rFonts w:ascii="Times New Roman" w:hAnsi="Times New Roman" w:cs="Times New Roman"/>
          <w:position w:val="-16"/>
        </w:rPr>
        <w:object w:dxaOrig="2880" w:dyaOrig="460">
          <v:shape id="_x0000_i1135" type="#_x0000_t75" style="width:2in;height:23.15pt" o:ole="">
            <v:imagedata r:id="rId13" o:title=""/>
          </v:shape>
          <o:OLEObject Type="Embed" ProgID="Equation.DSMT4" ShapeID="_x0000_i1135" DrawAspect="Content" ObjectID="_1585858913" r:id="rId14"/>
        </w:object>
      </w:r>
      <w:r w:rsidR="00F948AC" w:rsidRPr="00F948AC">
        <w:rPr>
          <w:rFonts w:ascii="Times New Roman" w:hAnsi="Times New Roman" w:cs="Times New Roman"/>
        </w:rPr>
        <w:t>；</w:t>
      </w:r>
    </w:p>
    <w:p w:rsidR="00DE5462" w:rsidRPr="00F948AC" w:rsidRDefault="00DE5462" w:rsidP="00F709B5">
      <w:pPr>
        <w:spacing w:line="360" w:lineRule="auto"/>
        <w:jc w:val="left"/>
        <w:rPr>
          <w:rFonts w:ascii="Times New Roman" w:hAnsi="Times New Roman" w:cs="Times New Roman"/>
        </w:rPr>
      </w:pPr>
      <w:r w:rsidRPr="00F948AC">
        <w:rPr>
          <w:rFonts w:ascii="Times New Roman" w:hAnsi="Times New Roman" w:cs="Times New Roman"/>
        </w:rPr>
        <w:lastRenderedPageBreak/>
        <w:t>如果允许卖空，</w:t>
      </w:r>
      <w:r w:rsidRPr="00F948AC">
        <w:rPr>
          <w:rFonts w:ascii="Times New Roman" w:hAnsi="Times New Roman" w:cs="Times New Roman"/>
          <w:position w:val="-16"/>
        </w:rPr>
        <w:object w:dxaOrig="2140" w:dyaOrig="460">
          <v:shape id="_x0000_i1136" type="#_x0000_t75" style="width:107.3pt;height:23.15pt" o:ole="">
            <v:imagedata r:id="rId15" o:title=""/>
          </v:shape>
          <o:OLEObject Type="Embed" ProgID="Equation.DSMT4" ShapeID="_x0000_i1136" DrawAspect="Content" ObjectID="_1585858914" r:id="rId16"/>
        </w:object>
      </w:r>
    </w:p>
    <w:p w:rsidR="00DE5462" w:rsidRPr="00415C05" w:rsidRDefault="00DE5462"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2</w:t>
      </w:r>
      <w:r w:rsidR="00F13A5C" w:rsidRPr="00415C05">
        <w:rPr>
          <w:rFonts w:ascii="Times New Roman" w:hAnsi="Times New Roman" w:cs="Times New Roman"/>
          <w:b/>
          <w:color w:val="000000" w:themeColor="text1"/>
        </w:rPr>
        <w:t>．资本分配线（</w:t>
      </w:r>
      <w:r w:rsidR="00F13A5C" w:rsidRPr="00415C05">
        <w:rPr>
          <w:rFonts w:ascii="Times New Roman" w:hAnsi="Times New Roman" w:cs="Times New Roman"/>
          <w:b/>
          <w:color w:val="000000" w:themeColor="text1"/>
        </w:rPr>
        <w:t>Capital Allocation Line</w:t>
      </w:r>
      <w:r w:rsidR="00F13A5C" w:rsidRPr="00415C05">
        <w:rPr>
          <w:rFonts w:ascii="Times New Roman" w:hAnsi="Times New Roman" w:cs="Times New Roman"/>
          <w:b/>
          <w:color w:val="000000" w:themeColor="text1"/>
        </w:rPr>
        <w:t>）</w:t>
      </w:r>
    </w:p>
    <w:p w:rsidR="00F13A5C" w:rsidRPr="00F948AC" w:rsidRDefault="00F13A5C"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假设投资组合由一个无风险资产和一个风险资产组成</w:t>
      </w:r>
      <w:r w:rsidR="00242664">
        <w:rPr>
          <w:rFonts w:ascii="Times New Roman" w:hAnsi="Times New Roman" w:cs="Times New Roman" w:hint="eastAsia"/>
          <w:color w:val="000000" w:themeColor="text1"/>
        </w:rPr>
        <w:t>，</w:t>
      </w:r>
      <w:r w:rsidRPr="00F948AC">
        <w:rPr>
          <w:rFonts w:ascii="Times New Roman" w:hAnsi="Times New Roman" w:cs="Times New Roman"/>
          <w:color w:val="000000" w:themeColor="text1"/>
        </w:rPr>
        <w:t>组合的收益和方差为：</w:t>
      </w:r>
    </w:p>
    <w:p w:rsidR="00DE5462" w:rsidRPr="00F948AC" w:rsidRDefault="00DE5462" w:rsidP="00F709B5">
      <w:pPr>
        <w:spacing w:line="360" w:lineRule="auto"/>
        <w:jc w:val="left"/>
        <w:rPr>
          <w:rFonts w:ascii="Times New Roman" w:hAnsi="Times New Roman" w:cs="Times New Roman"/>
        </w:rPr>
      </w:pPr>
      <w:r w:rsidRPr="00F948AC">
        <w:rPr>
          <w:rFonts w:ascii="Times New Roman" w:hAnsi="Times New Roman" w:cs="Times New Roman"/>
        </w:rPr>
        <w:object w:dxaOrig="2680" w:dyaOrig="800">
          <v:shape id="_x0000_i1137" type="#_x0000_t75" style="width:134.4pt;height:39.9pt" o:ole="">
            <v:imagedata r:id="rId17" o:title=""/>
          </v:shape>
          <o:OLEObject Type="Embed" ProgID="Equation.DSMT4" ShapeID="_x0000_i1137" DrawAspect="Content" ObjectID="_1585858915" r:id="rId18"/>
        </w:object>
      </w:r>
    </w:p>
    <w:p w:rsidR="00DE5462" w:rsidRPr="00F948AC" w:rsidRDefault="00DE5462" w:rsidP="00F709B5">
      <w:pPr>
        <w:spacing w:line="360" w:lineRule="auto"/>
        <w:jc w:val="left"/>
        <w:rPr>
          <w:rFonts w:ascii="Times New Roman" w:hAnsi="Times New Roman" w:cs="Times New Roman"/>
        </w:rPr>
      </w:pPr>
      <w:r w:rsidRPr="00F948AC">
        <w:rPr>
          <w:rFonts w:ascii="Times New Roman" w:hAnsi="Times New Roman" w:cs="Times New Roman"/>
        </w:rPr>
        <w:t>可以得到资本分配线：</w:t>
      </w:r>
      <w:r w:rsidRPr="00F948AC">
        <w:rPr>
          <w:rFonts w:ascii="Times New Roman" w:hAnsi="Times New Roman" w:cs="Times New Roman"/>
          <w:position w:val="-30"/>
        </w:rPr>
        <w:object w:dxaOrig="2900" w:dyaOrig="780">
          <v:shape id="_x0000_i1138" type="#_x0000_t75" style="width:144.7pt;height:38.85pt" o:ole="">
            <v:imagedata r:id="rId19" o:title=""/>
          </v:shape>
          <o:OLEObject Type="Embed" ProgID="Equation.DSMT4" ShapeID="_x0000_i1138" DrawAspect="Content" ObjectID="_1585858916" r:id="rId20"/>
        </w:object>
      </w:r>
    </w:p>
    <w:p w:rsidR="00F13A5C" w:rsidRPr="00415C05" w:rsidRDefault="00DE5462"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3</w:t>
      </w:r>
      <w:r w:rsidR="00F13A5C" w:rsidRPr="00415C05">
        <w:rPr>
          <w:rFonts w:ascii="Times New Roman" w:hAnsi="Times New Roman" w:cs="Times New Roman"/>
          <w:b/>
          <w:color w:val="000000" w:themeColor="text1"/>
        </w:rPr>
        <w:t>．有效组合与有效边界</w:t>
      </w:r>
    </w:p>
    <w:p w:rsidR="00F13A5C" w:rsidRPr="00F948AC" w:rsidRDefault="00DE5462"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w:t>
      </w:r>
      <w:r w:rsidR="00F13A5C" w:rsidRPr="00F948AC">
        <w:rPr>
          <w:rFonts w:ascii="Times New Roman" w:hAnsi="Times New Roman" w:cs="Times New Roman"/>
          <w:color w:val="000000" w:themeColor="text1"/>
        </w:rPr>
        <w:t>有效组合：根据共同偏好规则，在可行域中</w:t>
      </w:r>
      <w:r w:rsidRPr="00F948AC">
        <w:rPr>
          <w:rFonts w:ascii="Times New Roman" w:hAnsi="Times New Roman" w:cs="Times New Roman"/>
          <w:color w:val="000000" w:themeColor="text1"/>
        </w:rPr>
        <w:t>由</w:t>
      </w:r>
      <w:r w:rsidR="00F13A5C" w:rsidRPr="00F948AC">
        <w:rPr>
          <w:rFonts w:ascii="Times New Roman" w:hAnsi="Times New Roman" w:cs="Times New Roman"/>
          <w:color w:val="000000" w:themeColor="text1"/>
        </w:rPr>
        <w:t>共同偏好不能区分的组合为有效组合</w:t>
      </w:r>
      <w:r w:rsidRPr="00F948AC">
        <w:rPr>
          <w:rFonts w:ascii="Times New Roman" w:hAnsi="Times New Roman" w:cs="Times New Roman"/>
          <w:color w:val="000000" w:themeColor="text1"/>
        </w:rPr>
        <w:t>。</w:t>
      </w:r>
    </w:p>
    <w:p w:rsidR="00F13A5C" w:rsidRPr="00F948AC" w:rsidRDefault="00DE5462"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w:t>
      </w:r>
      <w:r w:rsidR="00F13A5C" w:rsidRPr="00F948AC">
        <w:rPr>
          <w:rFonts w:ascii="Times New Roman" w:hAnsi="Times New Roman" w:cs="Times New Roman"/>
          <w:color w:val="000000" w:themeColor="text1"/>
        </w:rPr>
        <w:t>有效边界：由有效组合定义知，可行域的上边缘部分</w:t>
      </w:r>
      <w:r w:rsidR="00242664">
        <w:rPr>
          <w:rFonts w:ascii="Times New Roman" w:hAnsi="Times New Roman" w:cs="Times New Roman" w:hint="eastAsia"/>
          <w:color w:val="000000" w:themeColor="text1"/>
        </w:rPr>
        <w:t>成为</w:t>
      </w:r>
      <w:r w:rsidR="00F13A5C" w:rsidRPr="00F948AC">
        <w:rPr>
          <w:rFonts w:ascii="Times New Roman" w:hAnsi="Times New Roman" w:cs="Times New Roman"/>
          <w:color w:val="000000" w:themeColor="text1"/>
        </w:rPr>
        <w:t>有效边界。</w:t>
      </w:r>
    </w:p>
    <w:p w:rsidR="00DE5462" w:rsidRPr="00F948AC" w:rsidRDefault="00DE5462" w:rsidP="00F709B5">
      <w:pPr>
        <w:spacing w:line="360" w:lineRule="auto"/>
        <w:jc w:val="center"/>
        <w:rPr>
          <w:rFonts w:ascii="Times New Roman" w:hAnsi="Times New Roman" w:cs="Times New Roman"/>
          <w:color w:val="000000" w:themeColor="text1"/>
        </w:rPr>
      </w:pPr>
      <w:r w:rsidRPr="00F948AC">
        <w:rPr>
          <w:rFonts w:ascii="Times New Roman" w:hAnsi="Times New Roman" w:cs="Times New Roman"/>
          <w:noProof/>
        </w:rPr>
        <w:drawing>
          <wp:inline distT="0" distB="0" distL="0" distR="0" wp14:anchorId="766D08C3" wp14:editId="4FF62AA2">
            <wp:extent cx="3200000" cy="185714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0000" cy="1857143"/>
                    </a:xfrm>
                    <a:prstGeom prst="rect">
                      <a:avLst/>
                    </a:prstGeom>
                  </pic:spPr>
                </pic:pic>
              </a:graphicData>
            </a:graphic>
          </wp:inline>
        </w:drawing>
      </w:r>
    </w:p>
    <w:p w:rsidR="00F948AC" w:rsidRPr="00F948AC" w:rsidRDefault="00F948AC" w:rsidP="00F709B5">
      <w:pPr>
        <w:spacing w:line="360" w:lineRule="auto"/>
        <w:jc w:val="center"/>
        <w:rPr>
          <w:rFonts w:ascii="Times New Roman" w:hAnsi="Times New Roman" w:cs="Times New Roman"/>
          <w:color w:val="000000" w:themeColor="text1"/>
        </w:rPr>
      </w:pPr>
      <w:r w:rsidRPr="00F948AC">
        <w:rPr>
          <w:rFonts w:ascii="Times New Roman" w:hAnsi="Times New Roman" w:cs="Times New Roman"/>
          <w:color w:val="000000" w:themeColor="text1"/>
        </w:rPr>
        <w:t>图</w:t>
      </w:r>
      <w:r w:rsidRPr="00F948AC">
        <w:rPr>
          <w:rFonts w:ascii="Times New Roman" w:hAnsi="Times New Roman" w:cs="Times New Roman"/>
          <w:color w:val="000000" w:themeColor="text1"/>
        </w:rPr>
        <w:t xml:space="preserve">2-1  </w:t>
      </w:r>
      <w:r w:rsidRPr="00F948AC">
        <w:rPr>
          <w:rFonts w:ascii="Times New Roman" w:hAnsi="Times New Roman" w:cs="Times New Roman"/>
          <w:color w:val="000000" w:themeColor="text1"/>
        </w:rPr>
        <w:t>有效组合与有效前沿</w:t>
      </w:r>
    </w:p>
    <w:p w:rsidR="00DE5462" w:rsidRPr="00415C05" w:rsidRDefault="00DE5462"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4</w:t>
      </w:r>
      <w:r w:rsidR="00F13A5C" w:rsidRPr="00415C05">
        <w:rPr>
          <w:rFonts w:ascii="Times New Roman" w:hAnsi="Times New Roman" w:cs="Times New Roman"/>
          <w:b/>
          <w:color w:val="000000" w:themeColor="text1"/>
        </w:rPr>
        <w:t>．最优风险组合</w:t>
      </w:r>
      <w:r w:rsidRPr="00415C05">
        <w:rPr>
          <w:rFonts w:ascii="Times New Roman" w:hAnsi="Times New Roman" w:cs="Times New Roman"/>
          <w:b/>
          <w:color w:val="000000" w:themeColor="text1"/>
        </w:rPr>
        <w:t>与最优投资者组合</w:t>
      </w:r>
    </w:p>
    <w:p w:rsidR="00F13A5C" w:rsidRPr="00F948AC" w:rsidRDefault="00DE5462"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）最优风险组合：</w:t>
      </w:r>
      <w:r w:rsidR="00F13A5C" w:rsidRPr="00F948AC">
        <w:rPr>
          <w:rFonts w:ascii="Times New Roman" w:hAnsi="Times New Roman" w:cs="Times New Roman"/>
          <w:color w:val="000000" w:themeColor="text1"/>
        </w:rPr>
        <w:t>投资者的资本</w:t>
      </w:r>
      <w:proofErr w:type="gramStart"/>
      <w:r w:rsidR="00F13A5C" w:rsidRPr="00F948AC">
        <w:rPr>
          <w:rFonts w:ascii="Times New Roman" w:hAnsi="Times New Roman" w:cs="Times New Roman"/>
          <w:color w:val="000000" w:themeColor="text1"/>
        </w:rPr>
        <w:t>分配线</w:t>
      </w:r>
      <w:proofErr w:type="gramEnd"/>
      <w:r w:rsidR="00F13A5C" w:rsidRPr="00F948AC">
        <w:rPr>
          <w:rFonts w:ascii="Times New Roman" w:hAnsi="Times New Roman" w:cs="Times New Roman"/>
          <w:color w:val="000000" w:themeColor="text1"/>
        </w:rPr>
        <w:t>与有效边界确定了最优风险组合的唯一性，即最优风险组合是资本</w:t>
      </w:r>
      <w:proofErr w:type="gramStart"/>
      <w:r w:rsidR="00F13A5C" w:rsidRPr="00F948AC">
        <w:rPr>
          <w:rFonts w:ascii="Times New Roman" w:hAnsi="Times New Roman" w:cs="Times New Roman"/>
          <w:color w:val="000000" w:themeColor="text1"/>
        </w:rPr>
        <w:t>分配线</w:t>
      </w:r>
      <w:proofErr w:type="gramEnd"/>
      <w:r w:rsidR="00F13A5C" w:rsidRPr="00F948AC">
        <w:rPr>
          <w:rFonts w:ascii="Times New Roman" w:hAnsi="Times New Roman" w:cs="Times New Roman"/>
          <w:color w:val="000000" w:themeColor="text1"/>
        </w:rPr>
        <w:t>与有效边界的切点所在的证券组合。</w:t>
      </w:r>
    </w:p>
    <w:p w:rsidR="00F13A5C" w:rsidRPr="00F948AC" w:rsidRDefault="00DE5462"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w:t>
      </w:r>
      <w:r w:rsidR="00F13A5C" w:rsidRPr="00F948AC">
        <w:rPr>
          <w:rFonts w:ascii="Times New Roman" w:hAnsi="Times New Roman" w:cs="Times New Roman"/>
          <w:color w:val="000000" w:themeColor="text1"/>
        </w:rPr>
        <w:t>最优投资组合</w:t>
      </w:r>
      <w:r w:rsidRPr="00F948AC">
        <w:rPr>
          <w:rFonts w:ascii="Times New Roman" w:hAnsi="Times New Roman" w:cs="Times New Roman"/>
          <w:color w:val="000000" w:themeColor="text1"/>
        </w:rPr>
        <w:t>：</w:t>
      </w:r>
      <w:r w:rsidR="00F13A5C" w:rsidRPr="00F948AC">
        <w:rPr>
          <w:rFonts w:ascii="Times New Roman" w:hAnsi="Times New Roman" w:cs="Times New Roman"/>
          <w:color w:val="000000" w:themeColor="text1"/>
        </w:rPr>
        <w:t>有效集的上凸性和无差异曲线的下凹性决定了最优组合的唯一性，即该投资者的有效集与无差异曲线的切点所在的证券组合为它的最优组合。</w:t>
      </w:r>
    </w:p>
    <w:p w:rsidR="00F13A5C" w:rsidRPr="00F948AC" w:rsidRDefault="00DE5462" w:rsidP="00F709B5">
      <w:pPr>
        <w:spacing w:line="360" w:lineRule="auto"/>
        <w:jc w:val="center"/>
        <w:rPr>
          <w:rFonts w:ascii="Times New Roman" w:hAnsi="Times New Roman" w:cs="Times New Roman"/>
          <w:color w:val="000000" w:themeColor="text1"/>
        </w:rPr>
      </w:pPr>
      <w:r w:rsidRPr="00F948AC">
        <w:rPr>
          <w:rFonts w:ascii="Times New Roman" w:hAnsi="Times New Roman" w:cs="Times New Roman"/>
          <w:noProof/>
        </w:rPr>
        <w:drawing>
          <wp:inline distT="0" distB="0" distL="0" distR="0" wp14:anchorId="044BFCAA" wp14:editId="7228B51C">
            <wp:extent cx="3180952" cy="184761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80952" cy="1847619"/>
                    </a:xfrm>
                    <a:prstGeom prst="rect">
                      <a:avLst/>
                    </a:prstGeom>
                  </pic:spPr>
                </pic:pic>
              </a:graphicData>
            </a:graphic>
          </wp:inline>
        </w:drawing>
      </w:r>
    </w:p>
    <w:p w:rsidR="00F948AC" w:rsidRPr="00F948AC" w:rsidRDefault="00F948AC" w:rsidP="00F709B5">
      <w:pPr>
        <w:spacing w:line="360" w:lineRule="auto"/>
        <w:jc w:val="center"/>
        <w:rPr>
          <w:rFonts w:ascii="Times New Roman" w:hAnsi="Times New Roman" w:cs="Times New Roman"/>
          <w:color w:val="000000" w:themeColor="text1"/>
        </w:rPr>
      </w:pPr>
      <w:r w:rsidRPr="00F948AC">
        <w:rPr>
          <w:rFonts w:ascii="Times New Roman" w:hAnsi="Times New Roman" w:cs="Times New Roman"/>
          <w:color w:val="000000" w:themeColor="text1"/>
        </w:rPr>
        <w:lastRenderedPageBreak/>
        <w:t>图</w:t>
      </w:r>
      <w:r w:rsidRPr="00F948AC">
        <w:rPr>
          <w:rFonts w:ascii="Times New Roman" w:hAnsi="Times New Roman" w:cs="Times New Roman"/>
          <w:color w:val="000000" w:themeColor="text1"/>
        </w:rPr>
        <w:t xml:space="preserve">2-2  </w:t>
      </w:r>
      <w:r w:rsidRPr="00F948AC">
        <w:rPr>
          <w:rFonts w:ascii="Times New Roman" w:hAnsi="Times New Roman" w:cs="Times New Roman"/>
          <w:color w:val="000000" w:themeColor="text1"/>
        </w:rPr>
        <w:t>最优风险组合与最优投资者组合</w:t>
      </w:r>
    </w:p>
    <w:p w:rsidR="0041327F" w:rsidRPr="00F948AC" w:rsidRDefault="0041327F" w:rsidP="00F709B5">
      <w:pPr>
        <w:pStyle w:val="2"/>
        <w:spacing w:before="0" w:after="0" w:line="360" w:lineRule="auto"/>
        <w:rPr>
          <w:rFonts w:ascii="Times New Roman" w:hAnsi="Times New Roman" w:cs="Times New Roman"/>
        </w:rPr>
      </w:pPr>
      <w:bookmarkStart w:id="5" w:name="_Toc512116419"/>
      <w:r w:rsidRPr="00F948AC">
        <w:rPr>
          <w:rFonts w:ascii="Times New Roman" w:hAnsi="Times New Roman" w:cs="Times New Roman"/>
        </w:rPr>
        <w:t>（二）威廉</w:t>
      </w:r>
      <w:r w:rsidRPr="00F948AC">
        <w:rPr>
          <w:rFonts w:ascii="Times New Roman" w:hAnsi="Times New Roman" w:cs="Times New Roman"/>
        </w:rPr>
        <w:t>·</w:t>
      </w:r>
      <w:r w:rsidRPr="00F948AC">
        <w:rPr>
          <w:rFonts w:ascii="Times New Roman" w:hAnsi="Times New Roman" w:cs="Times New Roman"/>
        </w:rPr>
        <w:t>夏普的资本资产定价模型</w:t>
      </w:r>
      <w:bookmarkEnd w:id="5"/>
    </w:p>
    <w:p w:rsidR="00F13A5C" w:rsidRPr="00F948AC" w:rsidRDefault="00F13A5C" w:rsidP="00F709B5">
      <w:pPr>
        <w:spacing w:line="360" w:lineRule="auto"/>
        <w:ind w:firstLineChars="200" w:firstLine="420"/>
        <w:rPr>
          <w:rFonts w:ascii="Times New Roman" w:hAnsi="Times New Roman" w:cs="Times New Roman"/>
        </w:rPr>
      </w:pPr>
      <w:r w:rsidRPr="00F948AC">
        <w:rPr>
          <w:rFonts w:ascii="Times New Roman" w:hAnsi="Times New Roman" w:cs="Times New Roman"/>
        </w:rPr>
        <w:t>确定</w:t>
      </w:r>
      <w:r w:rsidRPr="00F948AC">
        <w:rPr>
          <w:rFonts w:ascii="Times New Roman" w:hAnsi="Times New Roman" w:cs="Times New Roman"/>
        </w:rPr>
        <w:t>β</w:t>
      </w:r>
      <w:r w:rsidRPr="00F948AC">
        <w:rPr>
          <w:rFonts w:ascii="Times New Roman" w:hAnsi="Times New Roman" w:cs="Times New Roman"/>
        </w:rPr>
        <w:t>系数的模型有两种形式</w:t>
      </w:r>
      <w:r w:rsidR="0066631F" w:rsidRPr="00F948AC">
        <w:rPr>
          <w:rFonts w:ascii="Times New Roman" w:hAnsi="Times New Roman" w:cs="Times New Roman"/>
        </w:rPr>
        <w:t>：</w:t>
      </w:r>
    </w:p>
    <w:p w:rsidR="0066631F" w:rsidRPr="00415C05" w:rsidRDefault="0066631F" w:rsidP="00F709B5">
      <w:pPr>
        <w:spacing w:line="360" w:lineRule="auto"/>
        <w:rPr>
          <w:rFonts w:ascii="Times New Roman" w:hAnsi="Times New Roman" w:cs="Times New Roman"/>
          <w:b/>
        </w:rPr>
      </w:pPr>
      <w:r w:rsidRPr="00415C05">
        <w:rPr>
          <w:rFonts w:ascii="Times New Roman" w:hAnsi="Times New Roman" w:cs="Times New Roman"/>
          <w:b/>
        </w:rPr>
        <w:t>1</w:t>
      </w:r>
      <w:r w:rsidRPr="00415C05">
        <w:rPr>
          <w:rFonts w:ascii="Times New Roman" w:hAnsi="Times New Roman" w:cs="Times New Roman"/>
          <w:b/>
        </w:rPr>
        <w:t>．</w:t>
      </w:r>
      <w:r w:rsidR="00F13A5C" w:rsidRPr="00415C05">
        <w:rPr>
          <w:rFonts w:ascii="Times New Roman" w:hAnsi="Times New Roman" w:cs="Times New Roman"/>
          <w:b/>
        </w:rPr>
        <w:t>CAPM</w:t>
      </w:r>
      <w:r w:rsidR="00F13A5C" w:rsidRPr="00415C05">
        <w:rPr>
          <w:rFonts w:ascii="Times New Roman" w:hAnsi="Times New Roman" w:cs="Times New Roman"/>
          <w:b/>
        </w:rPr>
        <w:t>模型</w:t>
      </w:r>
    </w:p>
    <w:p w:rsidR="0066631F" w:rsidRPr="00F948AC" w:rsidRDefault="0066631F" w:rsidP="00F709B5">
      <w:pPr>
        <w:spacing w:line="360" w:lineRule="auto"/>
        <w:ind w:firstLineChars="200" w:firstLine="420"/>
        <w:rPr>
          <w:rFonts w:ascii="Times New Roman" w:hAnsi="Times New Roman" w:cs="Times New Roman"/>
        </w:rPr>
      </w:pPr>
      <w:r w:rsidRPr="00F948AC">
        <w:rPr>
          <w:rFonts w:ascii="Times New Roman" w:hAnsi="Times New Roman" w:cs="Times New Roman"/>
        </w:rPr>
        <w:t>证券市场线（</w:t>
      </w:r>
      <w:r w:rsidRPr="00F948AC">
        <w:rPr>
          <w:rFonts w:ascii="Times New Roman" w:hAnsi="Times New Roman" w:cs="Times New Roman"/>
        </w:rPr>
        <w:t>SML</w:t>
      </w:r>
      <w:r w:rsidRPr="00F948AC">
        <w:rPr>
          <w:rFonts w:ascii="Times New Roman" w:hAnsi="Times New Roman" w:cs="Times New Roman"/>
        </w:rPr>
        <w:t>）是资本资产定价模型（</w:t>
      </w:r>
      <w:r w:rsidRPr="00F948AC">
        <w:rPr>
          <w:rFonts w:ascii="Times New Roman" w:hAnsi="Times New Roman" w:cs="Times New Roman"/>
        </w:rPr>
        <w:t>CAPM</w:t>
      </w:r>
      <w:r w:rsidRPr="00F948AC">
        <w:rPr>
          <w:rFonts w:ascii="Times New Roman" w:hAnsi="Times New Roman" w:cs="Times New Roman"/>
        </w:rPr>
        <w:t>）的图示形式，反映证券报酬率与系统风险程度</w:t>
      </w:r>
      <w:r w:rsidRPr="00F948AC">
        <w:rPr>
          <w:rFonts w:ascii="Times New Roman" w:hAnsi="Times New Roman" w:cs="Times New Roman"/>
        </w:rPr>
        <w:t>β</w:t>
      </w:r>
      <w:r w:rsidRPr="00F948AC">
        <w:rPr>
          <w:rFonts w:ascii="Times New Roman" w:hAnsi="Times New Roman" w:cs="Times New Roman"/>
        </w:rPr>
        <w:t>系数之间以及市场上所有风险性资产的均衡期望收益率与风险之间的关系。</w:t>
      </w:r>
    </w:p>
    <w:p w:rsidR="0066631F" w:rsidRPr="00F948AC" w:rsidRDefault="0066631F" w:rsidP="00F709B5">
      <w:pPr>
        <w:spacing w:line="360" w:lineRule="auto"/>
        <w:jc w:val="center"/>
        <w:rPr>
          <w:rFonts w:ascii="Times New Roman" w:hAnsi="Times New Roman" w:cs="Times New Roman"/>
        </w:rPr>
      </w:pPr>
      <w:r w:rsidRPr="00F948AC">
        <w:rPr>
          <w:rFonts w:ascii="Times New Roman" w:hAnsi="Times New Roman" w:cs="Times New Roman"/>
          <w:noProof/>
        </w:rPr>
        <w:drawing>
          <wp:inline distT="0" distB="0" distL="0" distR="0" wp14:anchorId="4176A494" wp14:editId="7F949D53">
            <wp:extent cx="3295238" cy="21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95238" cy="2104762"/>
                    </a:xfrm>
                    <a:prstGeom prst="rect">
                      <a:avLst/>
                    </a:prstGeom>
                  </pic:spPr>
                </pic:pic>
              </a:graphicData>
            </a:graphic>
          </wp:inline>
        </w:drawing>
      </w:r>
    </w:p>
    <w:p w:rsidR="00F948AC" w:rsidRPr="00F948AC" w:rsidRDefault="00F948AC" w:rsidP="00F709B5">
      <w:pPr>
        <w:spacing w:line="360" w:lineRule="auto"/>
        <w:jc w:val="center"/>
        <w:rPr>
          <w:rFonts w:ascii="Times New Roman" w:hAnsi="Times New Roman" w:cs="Times New Roman"/>
        </w:rPr>
      </w:pPr>
      <w:r w:rsidRPr="00F948AC">
        <w:rPr>
          <w:rFonts w:ascii="Times New Roman" w:hAnsi="Times New Roman" w:cs="Times New Roman"/>
        </w:rPr>
        <w:t>图</w:t>
      </w:r>
      <w:r w:rsidRPr="00F948AC">
        <w:rPr>
          <w:rFonts w:ascii="Times New Roman" w:hAnsi="Times New Roman" w:cs="Times New Roman"/>
        </w:rPr>
        <w:t>2-3  CAPM</w:t>
      </w:r>
      <w:r w:rsidRPr="00F948AC">
        <w:rPr>
          <w:rFonts w:ascii="Times New Roman" w:hAnsi="Times New Roman" w:cs="Times New Roman"/>
        </w:rPr>
        <w:t>模型</w:t>
      </w:r>
    </w:p>
    <w:p w:rsidR="0066631F" w:rsidRPr="00F948AC" w:rsidRDefault="0066631F" w:rsidP="00F709B5">
      <w:pPr>
        <w:spacing w:line="360" w:lineRule="auto"/>
        <w:ind w:firstLineChars="300" w:firstLine="630"/>
        <w:jc w:val="center"/>
        <w:rPr>
          <w:rFonts w:ascii="Times New Roman" w:hAnsi="Times New Roman" w:cs="Times New Roman"/>
        </w:rPr>
      </w:pPr>
      <w:r w:rsidRPr="00F948AC">
        <w:rPr>
          <w:rFonts w:ascii="Times New Roman" w:hAnsi="Times New Roman" w:cs="Times New Roman"/>
          <w:position w:val="-16"/>
        </w:rPr>
        <w:object w:dxaOrig="2540" w:dyaOrig="440">
          <v:shape id="_x0000_i1139" type="#_x0000_t75" style="width:126.85pt;height:21.75pt" o:ole="">
            <v:imagedata r:id="rId24" o:title=""/>
          </v:shape>
          <o:OLEObject Type="Embed" ProgID="Equation.DSMT4" ShapeID="_x0000_i1139" DrawAspect="Content" ObjectID="_1585858917" r:id="rId25"/>
        </w:object>
      </w:r>
    </w:p>
    <w:p w:rsidR="0066631F" w:rsidRPr="00F948AC" w:rsidRDefault="0066631F" w:rsidP="00F709B5">
      <w:pPr>
        <w:spacing w:line="360" w:lineRule="auto"/>
        <w:jc w:val="center"/>
        <w:rPr>
          <w:rFonts w:ascii="Times New Roman" w:hAnsi="Times New Roman" w:cs="Times New Roman"/>
        </w:rPr>
      </w:pPr>
      <w:r w:rsidRPr="00F948AC">
        <w:rPr>
          <w:rFonts w:ascii="Times New Roman" w:hAnsi="Times New Roman" w:cs="Times New Roman"/>
        </w:rPr>
        <w:t>其中：</w:t>
      </w:r>
      <w:r w:rsidRPr="00F948AC">
        <w:rPr>
          <w:rFonts w:ascii="Times New Roman" w:hAnsi="Times New Roman" w:cs="Times New Roman"/>
          <w:position w:val="-14"/>
        </w:rPr>
        <w:object w:dxaOrig="639" w:dyaOrig="400">
          <v:shape id="_x0000_i1140" type="#_x0000_t75" style="width:32.1pt;height:20.3pt" o:ole="">
            <v:imagedata r:id="rId26" o:title=""/>
          </v:shape>
          <o:OLEObject Type="Embed" ProgID="Equation.DSMT4" ShapeID="_x0000_i1140" DrawAspect="Content" ObjectID="_1585858918" r:id="rId27"/>
        </w:object>
      </w:r>
      <w:r w:rsidRPr="00F948AC">
        <w:rPr>
          <w:rFonts w:ascii="Times New Roman" w:hAnsi="Times New Roman" w:cs="Times New Roman"/>
        </w:rPr>
        <w:t>=</w:t>
      </w:r>
      <w:r w:rsidRPr="00F948AC">
        <w:rPr>
          <w:rFonts w:ascii="Times New Roman" w:hAnsi="Times New Roman" w:cs="Times New Roman"/>
        </w:rPr>
        <w:t>资产</w:t>
      </w:r>
      <w:proofErr w:type="spellStart"/>
      <w:r w:rsidRPr="00F948AC">
        <w:rPr>
          <w:rFonts w:ascii="Times New Roman" w:hAnsi="Times New Roman" w:cs="Times New Roman"/>
        </w:rPr>
        <w:t>i</w:t>
      </w:r>
      <w:proofErr w:type="spellEnd"/>
      <w:r w:rsidRPr="00F948AC">
        <w:rPr>
          <w:rFonts w:ascii="Times New Roman" w:hAnsi="Times New Roman" w:cs="Times New Roman"/>
        </w:rPr>
        <w:t>的期望收益率</w:t>
      </w:r>
      <w:r w:rsidR="0071628A">
        <w:rPr>
          <w:rFonts w:ascii="Times New Roman" w:hAnsi="Times New Roman" w:cs="Times New Roman" w:hint="eastAsia"/>
        </w:rPr>
        <w:t>，</w:t>
      </w:r>
      <w:r w:rsidRPr="00F948AC">
        <w:rPr>
          <w:rFonts w:ascii="Times New Roman" w:hAnsi="Times New Roman" w:cs="Times New Roman"/>
          <w:position w:val="-14"/>
        </w:rPr>
        <w:object w:dxaOrig="320" w:dyaOrig="380">
          <v:shape id="_x0000_i1141" type="#_x0000_t75" style="width:15.7pt;height:18.9pt" o:ole="">
            <v:imagedata r:id="rId28" o:title=""/>
          </v:shape>
          <o:OLEObject Type="Embed" ProgID="Equation.DSMT4" ShapeID="_x0000_i1141" DrawAspect="Content" ObjectID="_1585858919" r:id="rId29"/>
        </w:object>
      </w:r>
      <w:r w:rsidRPr="00F948AC">
        <w:rPr>
          <w:rFonts w:ascii="Times New Roman" w:hAnsi="Times New Roman" w:cs="Times New Roman"/>
        </w:rPr>
        <w:t>=</w:t>
      </w:r>
      <w:r w:rsidRPr="00F948AC">
        <w:rPr>
          <w:rFonts w:ascii="Times New Roman" w:hAnsi="Times New Roman" w:cs="Times New Roman"/>
        </w:rPr>
        <w:t>无风险收益率</w:t>
      </w:r>
      <w:r w:rsidR="0071628A">
        <w:rPr>
          <w:rFonts w:ascii="Times New Roman" w:hAnsi="Times New Roman" w:cs="Times New Roman" w:hint="eastAsia"/>
        </w:rPr>
        <w:t>，</w:t>
      </w:r>
      <w:r w:rsidRPr="00F948AC">
        <w:rPr>
          <w:rFonts w:ascii="Times New Roman" w:hAnsi="Times New Roman" w:cs="Times New Roman"/>
          <w:position w:val="-12"/>
        </w:rPr>
        <w:object w:dxaOrig="320" w:dyaOrig="360">
          <v:shape id="_x0000_i1142" type="#_x0000_t75" style="width:15.7pt;height:18.2pt" o:ole="">
            <v:imagedata r:id="rId30" o:title=""/>
          </v:shape>
          <o:OLEObject Type="Embed" ProgID="Equation.DSMT4" ShapeID="_x0000_i1142" DrawAspect="Content" ObjectID="_1585858920" r:id="rId31"/>
        </w:object>
      </w:r>
      <w:r w:rsidRPr="00F948AC">
        <w:rPr>
          <w:rFonts w:ascii="Times New Roman" w:hAnsi="Times New Roman" w:cs="Times New Roman"/>
        </w:rPr>
        <w:t>=</w:t>
      </w:r>
      <w:r w:rsidRPr="00F948AC">
        <w:rPr>
          <w:rFonts w:ascii="Times New Roman" w:hAnsi="Times New Roman" w:cs="Times New Roman"/>
        </w:rPr>
        <w:t>市场平均收益率</w:t>
      </w:r>
    </w:p>
    <w:p w:rsidR="0066631F" w:rsidRPr="00415C05" w:rsidRDefault="0066631F" w:rsidP="00F709B5">
      <w:pPr>
        <w:spacing w:line="360" w:lineRule="auto"/>
        <w:rPr>
          <w:rFonts w:ascii="Times New Roman" w:hAnsi="Times New Roman" w:cs="Times New Roman"/>
          <w:b/>
        </w:rPr>
      </w:pPr>
      <w:r w:rsidRPr="00415C05">
        <w:rPr>
          <w:rFonts w:ascii="Times New Roman" w:hAnsi="Times New Roman" w:cs="Times New Roman"/>
          <w:b/>
        </w:rPr>
        <w:t>2</w:t>
      </w:r>
      <w:r w:rsidRPr="00415C05">
        <w:rPr>
          <w:rFonts w:ascii="Times New Roman" w:hAnsi="Times New Roman" w:cs="Times New Roman"/>
          <w:b/>
        </w:rPr>
        <w:t>．</w:t>
      </w:r>
      <w:r w:rsidR="00F13A5C" w:rsidRPr="00415C05">
        <w:rPr>
          <w:rFonts w:ascii="Times New Roman" w:hAnsi="Times New Roman" w:cs="Times New Roman"/>
          <w:b/>
        </w:rPr>
        <w:t>市场模型</w:t>
      </w:r>
    </w:p>
    <w:p w:rsidR="00F13A5C" w:rsidRPr="00F948AC" w:rsidRDefault="00F13A5C" w:rsidP="00F709B5">
      <w:pPr>
        <w:spacing w:line="360" w:lineRule="auto"/>
        <w:ind w:firstLineChars="200" w:firstLine="420"/>
        <w:rPr>
          <w:rFonts w:ascii="Times New Roman" w:hAnsi="Times New Roman" w:cs="Times New Roman"/>
        </w:rPr>
      </w:pPr>
      <w:r w:rsidRPr="00F948AC">
        <w:rPr>
          <w:rFonts w:ascii="Times New Roman" w:hAnsi="Times New Roman" w:cs="Times New Roman"/>
        </w:rPr>
        <w:t>市场模型体现的是资产的期望收益率与市场期望收益率之间的关系，其中</w:t>
      </w:r>
      <w:r w:rsidRPr="00F948AC">
        <w:rPr>
          <w:rFonts w:ascii="Times New Roman" w:hAnsi="Times New Roman" w:cs="Times New Roman"/>
        </w:rPr>
        <w:t>β</w:t>
      </w:r>
      <w:r w:rsidRPr="00F948AC">
        <w:rPr>
          <w:rFonts w:ascii="Times New Roman" w:hAnsi="Times New Roman" w:cs="Times New Roman"/>
        </w:rPr>
        <w:t>系数体现的是市场的期望收益率变动对资产期望收益率变动影响的程度。</w:t>
      </w:r>
    </w:p>
    <w:p w:rsidR="00F948AC" w:rsidRDefault="0066631F" w:rsidP="00F709B5">
      <w:pPr>
        <w:spacing w:line="360" w:lineRule="auto"/>
        <w:ind w:firstLineChars="200" w:firstLine="420"/>
        <w:jc w:val="left"/>
        <w:rPr>
          <w:rFonts w:ascii="Times New Roman" w:hAnsi="Times New Roman" w:cs="Times New Roman"/>
        </w:rPr>
      </w:pPr>
      <w:r w:rsidRPr="00F948AC">
        <w:rPr>
          <w:rFonts w:ascii="Times New Roman" w:hAnsi="Times New Roman" w:cs="Times New Roman"/>
        </w:rPr>
        <w:t>理论上的</w:t>
      </w:r>
      <w:r w:rsidRPr="00F948AC">
        <w:rPr>
          <w:rFonts w:ascii="Times New Roman" w:hAnsi="Times New Roman" w:cs="Times New Roman"/>
        </w:rPr>
        <w:t>beta</w:t>
      </w:r>
      <w:r w:rsidRPr="00F948AC">
        <w:rPr>
          <w:rFonts w:ascii="Times New Roman" w:hAnsi="Times New Roman" w:cs="Times New Roman"/>
        </w:rPr>
        <w:t>系数为</w:t>
      </w:r>
      <w:r w:rsidRPr="00F948AC">
        <w:rPr>
          <w:rFonts w:ascii="Times New Roman" w:hAnsi="Times New Roman" w:cs="Times New Roman"/>
          <w:position w:val="-30"/>
        </w:rPr>
        <w:object w:dxaOrig="1860" w:dyaOrig="740">
          <v:shape id="_x0000_i1143" type="#_x0000_t75" style="width:93.1pt;height:36.7pt" o:ole="">
            <v:imagedata r:id="rId32" o:title=""/>
          </v:shape>
          <o:OLEObject Type="Embed" ProgID="Equation.DSMT4" ShapeID="_x0000_i1143" DrawAspect="Content" ObjectID="_1585858921" r:id="rId33"/>
        </w:object>
      </w:r>
      <w:r w:rsidRPr="00F948AC">
        <w:rPr>
          <w:rFonts w:ascii="Times New Roman" w:hAnsi="Times New Roman" w:cs="Times New Roman"/>
        </w:rPr>
        <w:t>，经过回归后</w:t>
      </w:r>
      <w:r w:rsidRPr="00F948AC">
        <w:rPr>
          <w:rFonts w:ascii="Times New Roman" w:hAnsi="Times New Roman" w:cs="Times New Roman"/>
          <w:position w:val="-14"/>
        </w:rPr>
        <w:object w:dxaOrig="2079" w:dyaOrig="400">
          <v:shape id="_x0000_i1144" type="#_x0000_t75" style="width:104.45pt;height:20.3pt" o:ole="">
            <v:imagedata r:id="rId34" o:title=""/>
          </v:shape>
          <o:OLEObject Type="Embed" ProgID="Equation.DSMT4" ShapeID="_x0000_i1144" DrawAspect="Content" ObjectID="_1585858922" r:id="rId35"/>
        </w:object>
      </w:r>
    </w:p>
    <w:p w:rsidR="00242664" w:rsidRPr="00242664" w:rsidRDefault="00242664" w:rsidP="00F709B5">
      <w:pPr>
        <w:spacing w:beforeLines="50" w:before="156" w:line="360" w:lineRule="auto"/>
        <w:ind w:firstLineChars="200" w:firstLine="420"/>
        <w:rPr>
          <w:rFonts w:ascii="Times New Roman" w:hAnsi="Times New Roman" w:cs="Times New Roman"/>
        </w:rPr>
      </w:pPr>
      <w:r>
        <w:rPr>
          <w:rFonts w:ascii="Times New Roman" w:hAnsi="Times New Roman" w:cs="Times New Roman" w:hint="eastAsia"/>
        </w:rPr>
        <w:t>在本课程项目的操作部分中，“</w:t>
      </w:r>
      <w:r w:rsidR="0026652A">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rPr>
        <w:t>APM</w:t>
      </w:r>
      <w:r>
        <w:rPr>
          <w:rFonts w:ascii="Times New Roman" w:hAnsi="Times New Roman" w:cs="Times New Roman" w:hint="eastAsia"/>
        </w:rPr>
        <w:t>模型的拟合检验”的代码设计思路运用市场</w:t>
      </w:r>
      <w:r w:rsidRPr="00242664">
        <w:rPr>
          <w:rFonts w:ascii="Times New Roman" w:hAnsi="Times New Roman" w:cs="Times New Roman"/>
        </w:rPr>
        <w:t>模型</w:t>
      </w:r>
      <w:r>
        <w:rPr>
          <w:rFonts w:ascii="Times New Roman" w:hAnsi="Times New Roman" w:cs="Times New Roman" w:hint="eastAsia"/>
        </w:rPr>
        <w:t>对</w:t>
      </w:r>
      <w:r>
        <w:rPr>
          <w:rFonts w:ascii="Cambria Math" w:hAnsi="Cambria Math" w:cs="Times New Roman"/>
        </w:rPr>
        <w:t>β</w:t>
      </w:r>
      <w:r>
        <w:rPr>
          <w:rFonts w:ascii="Times New Roman" w:hAnsi="Times New Roman" w:cs="Times New Roman" w:hint="eastAsia"/>
        </w:rPr>
        <w:t>系数加以确定，而“</w:t>
      </w:r>
      <w:r w:rsidR="0026652A">
        <w:rPr>
          <w:rFonts w:ascii="Times New Roman" w:hAnsi="Times New Roman" w:cs="Times New Roman" w:hint="eastAsia"/>
        </w:rPr>
        <w:t>三</w:t>
      </w:r>
      <w:r>
        <w:rPr>
          <w:rFonts w:ascii="Times New Roman" w:hAnsi="Times New Roman" w:cs="Times New Roman" w:hint="eastAsia"/>
        </w:rPr>
        <w:t>、交易策略”的代码设计思路则运用</w:t>
      </w:r>
      <w:r>
        <w:rPr>
          <w:rFonts w:ascii="Times New Roman" w:hAnsi="Times New Roman" w:cs="Times New Roman" w:hint="eastAsia"/>
        </w:rPr>
        <w:t>C</w:t>
      </w:r>
      <w:r>
        <w:rPr>
          <w:rFonts w:ascii="Times New Roman" w:hAnsi="Times New Roman" w:cs="Times New Roman"/>
        </w:rPr>
        <w:t>APM</w:t>
      </w:r>
      <w:r>
        <w:rPr>
          <w:rFonts w:ascii="Times New Roman" w:hAnsi="Times New Roman" w:cs="Times New Roman" w:hint="eastAsia"/>
        </w:rPr>
        <w:t>模型来确定</w:t>
      </w:r>
      <w:r>
        <w:rPr>
          <w:rFonts w:ascii="Cambria Math" w:hAnsi="Cambria Math" w:cs="Times New Roman"/>
        </w:rPr>
        <w:t>β</w:t>
      </w:r>
      <w:r>
        <w:rPr>
          <w:rFonts w:ascii="Times New Roman" w:hAnsi="Times New Roman" w:cs="Times New Roman" w:hint="eastAsia"/>
        </w:rPr>
        <w:t>系数。</w:t>
      </w:r>
    </w:p>
    <w:p w:rsidR="00242664" w:rsidRPr="00242664" w:rsidRDefault="00242664" w:rsidP="00F709B5">
      <w:pPr>
        <w:spacing w:line="360" w:lineRule="auto"/>
        <w:ind w:firstLineChars="200" w:firstLine="420"/>
        <w:jc w:val="left"/>
        <w:rPr>
          <w:rFonts w:ascii="Times New Roman" w:hAnsi="Times New Roman" w:cs="Times New Roman"/>
        </w:rPr>
      </w:pPr>
    </w:p>
    <w:p w:rsidR="0041327F" w:rsidRPr="00F948AC" w:rsidRDefault="006F39B1" w:rsidP="00F709B5">
      <w:pPr>
        <w:pStyle w:val="1"/>
        <w:spacing w:before="0" w:after="0" w:line="360" w:lineRule="auto"/>
        <w:rPr>
          <w:rFonts w:ascii="Times New Roman" w:hAnsi="Times New Roman" w:cs="Times New Roman"/>
          <w:color w:val="000000" w:themeColor="text1"/>
        </w:rPr>
      </w:pPr>
      <w:bookmarkStart w:id="6" w:name="_Toc512116420"/>
      <w:r>
        <w:rPr>
          <w:rFonts w:ascii="Times New Roman" w:hAnsi="Times New Roman" w:cs="Times New Roman" w:hint="eastAsia"/>
          <w:color w:val="000000" w:themeColor="text1"/>
        </w:rPr>
        <w:t>三</w:t>
      </w:r>
      <w:r w:rsidR="0041327F" w:rsidRPr="00F948AC">
        <w:rPr>
          <w:rFonts w:ascii="Times New Roman" w:hAnsi="Times New Roman" w:cs="Times New Roman"/>
          <w:color w:val="000000" w:themeColor="text1"/>
        </w:rPr>
        <w:t>、</w:t>
      </w:r>
      <w:r w:rsidR="0041327F" w:rsidRPr="00F948AC">
        <w:rPr>
          <w:rFonts w:ascii="Times New Roman" w:hAnsi="Times New Roman" w:cs="Times New Roman"/>
          <w:color w:val="000000" w:themeColor="text1"/>
        </w:rPr>
        <w:t>CAPM</w:t>
      </w:r>
      <w:r w:rsidR="0041327F" w:rsidRPr="00F948AC">
        <w:rPr>
          <w:rFonts w:ascii="Times New Roman" w:hAnsi="Times New Roman" w:cs="Times New Roman"/>
          <w:color w:val="000000" w:themeColor="text1"/>
        </w:rPr>
        <w:t>模型的拟合检验</w:t>
      </w:r>
      <w:bookmarkEnd w:id="6"/>
    </w:p>
    <w:p w:rsidR="00F94850" w:rsidRPr="00F948AC" w:rsidRDefault="00F94850" w:rsidP="00F709B5">
      <w:pPr>
        <w:pStyle w:val="2"/>
        <w:spacing w:before="0" w:after="0" w:line="360" w:lineRule="auto"/>
        <w:rPr>
          <w:rFonts w:ascii="Times New Roman" w:hAnsi="Times New Roman" w:cs="Times New Roman"/>
          <w:color w:val="000000" w:themeColor="text1"/>
        </w:rPr>
      </w:pPr>
      <w:bookmarkStart w:id="7" w:name="_Toc512116421"/>
      <w:r w:rsidRPr="00F948AC">
        <w:rPr>
          <w:rFonts w:ascii="Times New Roman" w:hAnsi="Times New Roman" w:cs="Times New Roman"/>
          <w:color w:val="000000" w:themeColor="text1"/>
        </w:rPr>
        <w:t>（一）操作目的</w:t>
      </w:r>
      <w:bookmarkEnd w:id="7"/>
    </w:p>
    <w:p w:rsidR="00F94850" w:rsidRPr="00F948AC" w:rsidRDefault="00F94850"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从数据集中随机抽取个股作为股票池，将指数作为市场组合，并将股票池中个股带入</w:t>
      </w:r>
      <w:r w:rsidRPr="00F948AC">
        <w:rPr>
          <w:rFonts w:ascii="Times New Roman" w:hAnsi="Times New Roman" w:cs="Times New Roman"/>
          <w:color w:val="000000" w:themeColor="text1"/>
        </w:rPr>
        <w:lastRenderedPageBreak/>
        <w:t>CAPM</w:t>
      </w:r>
      <w:r w:rsidRPr="00F948AC">
        <w:rPr>
          <w:rFonts w:ascii="Times New Roman" w:hAnsi="Times New Roman" w:cs="Times New Roman"/>
          <w:color w:val="000000" w:themeColor="text1"/>
        </w:rPr>
        <w:t>模型进行拟合，且对结果做简单的统计分析。</w:t>
      </w:r>
    </w:p>
    <w:p w:rsidR="00F94850" w:rsidRPr="00F948AC" w:rsidRDefault="00F94850" w:rsidP="00F709B5">
      <w:pPr>
        <w:pStyle w:val="2"/>
        <w:spacing w:before="0" w:after="0" w:line="360" w:lineRule="auto"/>
        <w:rPr>
          <w:rFonts w:ascii="Times New Roman" w:hAnsi="Times New Roman" w:cs="Times New Roman"/>
          <w:color w:val="000000" w:themeColor="text1"/>
        </w:rPr>
      </w:pPr>
      <w:bookmarkStart w:id="8" w:name="_Toc512116422"/>
      <w:r w:rsidRPr="00F948AC">
        <w:rPr>
          <w:rFonts w:ascii="Times New Roman" w:hAnsi="Times New Roman" w:cs="Times New Roman"/>
          <w:color w:val="000000" w:themeColor="text1"/>
        </w:rPr>
        <w:t>（二）代码设计思路</w:t>
      </w:r>
      <w:bookmarkEnd w:id="8"/>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1</w:t>
      </w:r>
      <w:r w:rsidRPr="00415C05">
        <w:rPr>
          <w:rFonts w:ascii="Times New Roman" w:hAnsi="Times New Roman" w:cs="Times New Roman"/>
          <w:b/>
          <w:color w:val="000000" w:themeColor="text1"/>
        </w:rPr>
        <w:t>．数据集整理及抽取样本</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以</w:t>
      </w:r>
      <w:r w:rsidRPr="00F948AC">
        <w:rPr>
          <w:rFonts w:ascii="Times New Roman" w:hAnsi="Times New Roman" w:cs="Times New Roman"/>
          <w:color w:val="000000" w:themeColor="text1"/>
        </w:rPr>
        <w:t>2017</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月至</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月上证</w:t>
      </w:r>
      <w:r w:rsidRPr="00F948AC">
        <w:rPr>
          <w:rFonts w:ascii="Times New Roman" w:hAnsi="Times New Roman" w:cs="Times New Roman"/>
          <w:color w:val="000000" w:themeColor="text1"/>
        </w:rPr>
        <w:t>A</w:t>
      </w:r>
      <w:r w:rsidRPr="00F948AC">
        <w:rPr>
          <w:rFonts w:ascii="Times New Roman" w:hAnsi="Times New Roman" w:cs="Times New Roman"/>
          <w:color w:val="000000" w:themeColor="text1"/>
        </w:rPr>
        <w:t>股指数作为指数数据集（共</w:t>
      </w:r>
      <w:r w:rsidRPr="00F948AC">
        <w:rPr>
          <w:rFonts w:ascii="Times New Roman" w:hAnsi="Times New Roman" w:cs="Times New Roman"/>
          <w:color w:val="000000" w:themeColor="text1"/>
        </w:rPr>
        <w:t>245</w:t>
      </w:r>
      <w:r w:rsidRPr="00F948AC">
        <w:rPr>
          <w:rFonts w:ascii="Times New Roman" w:hAnsi="Times New Roman" w:cs="Times New Roman"/>
          <w:color w:val="000000" w:themeColor="text1"/>
        </w:rPr>
        <w:t>条数据），以同时期上证</w:t>
      </w:r>
      <w:r w:rsidRPr="00F948AC">
        <w:rPr>
          <w:rFonts w:ascii="Times New Roman" w:hAnsi="Times New Roman" w:cs="Times New Roman"/>
          <w:color w:val="000000" w:themeColor="text1"/>
        </w:rPr>
        <w:t>A</w:t>
      </w:r>
      <w:r w:rsidRPr="00F948AC">
        <w:rPr>
          <w:rFonts w:ascii="Times New Roman" w:hAnsi="Times New Roman" w:cs="Times New Roman"/>
          <w:color w:val="000000" w:themeColor="text1"/>
        </w:rPr>
        <w:t>股市场中交易正常的股票日收益率作为股票数据集（对原始数据简单进行所在市场和交易状态的筛选），并对数据集进行简单整理和删除数据个数不匹配于指数数据的个股数据后，以随机抽样的方式从股票数据集中抽取</w:t>
      </w:r>
      <w:r w:rsidRPr="00F948AC">
        <w:rPr>
          <w:rFonts w:ascii="Times New Roman" w:hAnsi="Times New Roman" w:cs="Times New Roman"/>
          <w:color w:val="000000" w:themeColor="text1"/>
        </w:rPr>
        <w:t>50</w:t>
      </w:r>
      <w:r w:rsidRPr="00F948AC">
        <w:rPr>
          <w:rFonts w:ascii="Times New Roman" w:hAnsi="Times New Roman" w:cs="Times New Roman"/>
          <w:color w:val="000000" w:themeColor="text1"/>
        </w:rPr>
        <w:t>个样本数据作为股票池。</w:t>
      </w:r>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2</w:t>
      </w:r>
      <w:r w:rsidRPr="00415C05">
        <w:rPr>
          <w:rFonts w:ascii="Times New Roman" w:hAnsi="Times New Roman" w:cs="Times New Roman"/>
          <w:b/>
          <w:color w:val="000000" w:themeColor="text1"/>
        </w:rPr>
        <w:t>．计算并预测贝塔值</w:t>
      </w:r>
    </w:p>
    <w:p w:rsidR="00F94850" w:rsidRPr="00F948AC" w:rsidRDefault="00F94850"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以月为周期处理数据，计算指数</w:t>
      </w:r>
      <w:proofErr w:type="gramStart"/>
      <w:r w:rsidRPr="00F948AC">
        <w:rPr>
          <w:rFonts w:ascii="Times New Roman" w:hAnsi="Times New Roman" w:cs="Times New Roman"/>
          <w:color w:val="000000" w:themeColor="text1"/>
        </w:rPr>
        <w:t>收益率月方差</w:t>
      </w:r>
      <w:proofErr w:type="gramEnd"/>
      <w:r w:rsidRPr="00F948AC">
        <w:rPr>
          <w:rFonts w:ascii="Times New Roman" w:hAnsi="Times New Roman" w:cs="Times New Roman"/>
          <w:color w:val="000000" w:themeColor="text1"/>
        </w:rPr>
        <w:t>（在代码中编写中，分别编写于对应数据集的整理，未特别单列于此部分），按照贝塔的定义公式：</w:t>
      </w:r>
    </w:p>
    <w:p w:rsidR="00F94850" w:rsidRPr="00F948AC" w:rsidRDefault="00F94850" w:rsidP="00F709B5">
      <w:pPr>
        <w:spacing w:line="360" w:lineRule="auto"/>
        <w:ind w:firstLine="420"/>
        <w:rPr>
          <w:rFonts w:ascii="Times New Roman" w:hAnsi="Times New Roman" w:cs="Times New Roman"/>
          <w:color w:val="000000" w:themeColor="text1"/>
        </w:rPr>
      </w:pPr>
      <m:oMathPara>
        <m:oMath>
          <m:r>
            <m:rPr>
              <m:sty m:val="p"/>
            </m:rPr>
            <w:rPr>
              <w:rFonts w:ascii="Cambria Math" w:hAnsi="Cambria Math" w:cs="Times New Roman"/>
              <w:color w:val="000000" w:themeColor="text1"/>
            </w:rPr>
            <m:t>β=</m:t>
          </m:r>
          <m:f>
            <m:fPr>
              <m:ctrlPr>
                <w:rPr>
                  <w:rFonts w:ascii="Cambria Math" w:hAnsi="Cambria Math" w:cs="Times New Roman"/>
                  <w:color w:val="000000" w:themeColor="text1"/>
                </w:rPr>
              </m:ctrlPr>
            </m:fPr>
            <m:num>
              <m:r>
                <w:rPr>
                  <w:rFonts w:ascii="Cambria Math" w:hAnsi="Cambria Math" w:cs="Times New Roman"/>
                  <w:color w:val="000000" w:themeColor="text1"/>
                </w:rPr>
                <m:t>cov(</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m</m:t>
                  </m:r>
                </m:sub>
              </m:sSub>
              <m:r>
                <w:rPr>
                  <w:rFonts w:ascii="Cambria Math" w:hAnsi="Cambria Math" w:cs="Times New Roman"/>
                  <w:color w:val="000000" w:themeColor="text1"/>
                </w:rPr>
                <m:t>)</m:t>
              </m:r>
            </m:num>
            <m:den>
              <m:r>
                <w:rPr>
                  <w:rFonts w:ascii="Cambria Math" w:hAnsi="Cambria Math" w:cs="Times New Roman"/>
                  <w:color w:val="000000" w:themeColor="text1"/>
                </w:rPr>
                <m:t>var(</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m</m:t>
                  </m:r>
                </m:sub>
              </m:sSub>
              <m:r>
                <w:rPr>
                  <w:rFonts w:ascii="Cambria Math" w:hAnsi="Cambria Math" w:cs="Times New Roman"/>
                  <w:color w:val="000000" w:themeColor="text1"/>
                </w:rPr>
                <m:t>)</m:t>
              </m:r>
            </m:den>
          </m:f>
        </m:oMath>
      </m:oMathPara>
    </w:p>
    <w:p w:rsidR="00F94850" w:rsidRPr="00F948AC" w:rsidRDefault="00F94850"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计算各股各月对应贝塔值，运用移动平均的方法处理数据，并将最后一期的移动平均贝塔值作为</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月贝塔的预测值，即下阶段</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模型中的</w:t>
      </w:r>
      <m:oMath>
        <m:r>
          <m:rPr>
            <m:sty m:val="p"/>
          </m:rPr>
          <w:rPr>
            <w:rFonts w:ascii="Cambria Math" w:hAnsi="Cambria Math" w:cs="Times New Roman"/>
            <w:color w:val="000000" w:themeColor="text1"/>
          </w:rPr>
          <m:t>β</m:t>
        </m:r>
      </m:oMath>
      <w:r w:rsidRPr="00F948AC">
        <w:rPr>
          <w:rFonts w:ascii="Times New Roman" w:hAnsi="Times New Roman" w:cs="Times New Roman"/>
          <w:color w:val="000000" w:themeColor="text1"/>
        </w:rPr>
        <w:t>。</w:t>
      </w:r>
    </w:p>
    <w:p w:rsidR="00F94850" w:rsidRPr="00F948AC" w:rsidRDefault="00F94850"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将股票池中各股的</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月预测贝塔值导出至</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data</w:t>
      </w:r>
      <w:r w:rsidRPr="00F948AC">
        <w:rPr>
          <w:rFonts w:ascii="Times New Roman" w:hAnsi="Times New Roman" w:cs="Times New Roman"/>
          <w:color w:val="000000" w:themeColor="text1"/>
        </w:rPr>
        <w:t>集</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文件夹，命名为</w:t>
      </w:r>
      <w:r w:rsidRPr="00F948AC">
        <w:rPr>
          <w:rFonts w:ascii="Times New Roman" w:hAnsi="Times New Roman" w:cs="Times New Roman"/>
          <w:color w:val="000000" w:themeColor="text1"/>
        </w:rPr>
        <w:t>“prediction-beta.csv”</w:t>
      </w:r>
      <w:r w:rsidRPr="00F948AC">
        <w:rPr>
          <w:rFonts w:ascii="Times New Roman" w:hAnsi="Times New Roman" w:cs="Times New Roman"/>
          <w:color w:val="000000" w:themeColor="text1"/>
        </w:rPr>
        <w:t>。</w:t>
      </w:r>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3</w:t>
      </w:r>
      <w:r w:rsidRPr="00415C05">
        <w:rPr>
          <w:rFonts w:ascii="Times New Roman" w:hAnsi="Times New Roman" w:cs="Times New Roman"/>
          <w:b/>
          <w:color w:val="000000" w:themeColor="text1"/>
        </w:rPr>
        <w:t>．股票池个股</w:t>
      </w:r>
      <w:r w:rsidRPr="00415C05">
        <w:rPr>
          <w:rFonts w:ascii="Times New Roman" w:hAnsi="Times New Roman" w:cs="Times New Roman"/>
          <w:b/>
          <w:color w:val="000000" w:themeColor="text1"/>
        </w:rPr>
        <w:t>CAPM</w:t>
      </w:r>
      <w:r w:rsidRPr="00415C05">
        <w:rPr>
          <w:rFonts w:ascii="Times New Roman" w:hAnsi="Times New Roman" w:cs="Times New Roman"/>
          <w:b/>
          <w:color w:val="000000" w:themeColor="text1"/>
        </w:rPr>
        <w:t>模型拟合</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导入</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w:t>
      </w: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日至</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w:t>
      </w:r>
      <w:r w:rsidRPr="00F948AC">
        <w:rPr>
          <w:rFonts w:ascii="Times New Roman" w:hAnsi="Times New Roman" w:cs="Times New Roman"/>
          <w:color w:val="000000" w:themeColor="text1"/>
        </w:rPr>
        <w:t>31</w:t>
      </w:r>
      <w:r w:rsidRPr="00F948AC">
        <w:rPr>
          <w:rFonts w:ascii="Times New Roman" w:hAnsi="Times New Roman" w:cs="Times New Roman"/>
          <w:color w:val="000000" w:themeColor="text1"/>
        </w:rPr>
        <w:t>日所有交易日的指数日收益率（共</w:t>
      </w:r>
      <w:r w:rsidRPr="00F948AC">
        <w:rPr>
          <w:rFonts w:ascii="Times New Roman" w:hAnsi="Times New Roman" w:cs="Times New Roman"/>
          <w:color w:val="000000" w:themeColor="text1"/>
        </w:rPr>
        <w:t>22</w:t>
      </w:r>
      <w:r w:rsidRPr="00F948AC">
        <w:rPr>
          <w:rFonts w:ascii="Times New Roman" w:hAnsi="Times New Roman" w:cs="Times New Roman"/>
          <w:color w:val="000000" w:themeColor="text1"/>
        </w:rPr>
        <w:t>条数据），同期股票</w:t>
      </w:r>
      <w:proofErr w:type="gramStart"/>
      <w:r w:rsidRPr="00F948AC">
        <w:rPr>
          <w:rFonts w:ascii="Times New Roman" w:hAnsi="Times New Roman" w:cs="Times New Roman"/>
          <w:color w:val="000000" w:themeColor="text1"/>
        </w:rPr>
        <w:t>池实际日</w:t>
      </w:r>
      <w:proofErr w:type="gramEnd"/>
      <w:r w:rsidRPr="00F948AC">
        <w:rPr>
          <w:rFonts w:ascii="Times New Roman" w:hAnsi="Times New Roman" w:cs="Times New Roman"/>
          <w:color w:val="000000" w:themeColor="text1"/>
        </w:rPr>
        <w:t>收益率同时删除数据个数不匹配的个股（所以最终有效样本个数可能不足</w:t>
      </w:r>
      <w:r w:rsidRPr="00F948AC">
        <w:rPr>
          <w:rFonts w:ascii="Times New Roman" w:hAnsi="Times New Roman" w:cs="Times New Roman"/>
          <w:color w:val="000000" w:themeColor="text1"/>
        </w:rPr>
        <w:t>50</w:t>
      </w:r>
      <w:r w:rsidRPr="00F948AC">
        <w:rPr>
          <w:rFonts w:ascii="Times New Roman" w:hAnsi="Times New Roman" w:cs="Times New Roman"/>
          <w:color w:val="000000" w:themeColor="text1"/>
        </w:rPr>
        <w:t>）。由于</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月日化无风险利率均为</w:t>
      </w:r>
      <w:r w:rsidRPr="00F948AC">
        <w:rPr>
          <w:rFonts w:ascii="Times New Roman" w:hAnsi="Times New Roman" w:cs="Times New Roman"/>
          <w:color w:val="000000" w:themeColor="text1"/>
        </w:rPr>
        <w:t>0.0041</w:t>
      </w:r>
      <w:r w:rsidRPr="00F948AC">
        <w:rPr>
          <w:rFonts w:ascii="Times New Roman" w:hAnsi="Times New Roman" w:cs="Times New Roman"/>
          <w:color w:val="000000" w:themeColor="text1"/>
        </w:rPr>
        <w:t>，故直接录入数值。</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根据</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模型，计算各股</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月每日理论收益率，将数据结果导出至</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data</w:t>
      </w:r>
      <w:r w:rsidRPr="00F948AC">
        <w:rPr>
          <w:rFonts w:ascii="Times New Roman" w:hAnsi="Times New Roman" w:cs="Times New Roman"/>
          <w:color w:val="000000" w:themeColor="text1"/>
        </w:rPr>
        <w:t>集</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文件夹，命名为</w:t>
      </w:r>
      <w:r w:rsidRPr="00F948AC">
        <w:rPr>
          <w:rFonts w:ascii="Times New Roman" w:hAnsi="Times New Roman" w:cs="Times New Roman"/>
          <w:color w:val="000000" w:themeColor="text1"/>
        </w:rPr>
        <w:t>“totaltesting.csv”</w:t>
      </w:r>
      <w:r w:rsidRPr="00F948AC">
        <w:rPr>
          <w:rFonts w:ascii="Times New Roman" w:hAnsi="Times New Roman" w:cs="Times New Roman"/>
          <w:color w:val="000000" w:themeColor="text1"/>
        </w:rPr>
        <w:t>。</w:t>
      </w:r>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4</w:t>
      </w:r>
      <w:r w:rsidRPr="00415C05">
        <w:rPr>
          <w:rFonts w:ascii="Times New Roman" w:hAnsi="Times New Roman" w:cs="Times New Roman"/>
          <w:b/>
          <w:color w:val="000000" w:themeColor="text1"/>
        </w:rPr>
        <w:t>．绘制结果散点图及计算拟合平均误差</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根据拟合结果绘制散点图，实际收益率为红点，必要收益率为黑色三角形，各股拟合散点结果图导出保存于</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graphs”</w:t>
      </w:r>
      <w:r w:rsidRPr="00F948AC">
        <w:rPr>
          <w:rFonts w:ascii="Times New Roman" w:hAnsi="Times New Roman" w:cs="Times New Roman"/>
          <w:color w:val="000000" w:themeColor="text1"/>
        </w:rPr>
        <w:t>文件夹。</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计算各股平均误差，结果导出至</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data</w:t>
      </w:r>
      <w:r w:rsidRPr="00F948AC">
        <w:rPr>
          <w:rFonts w:ascii="Times New Roman" w:hAnsi="Times New Roman" w:cs="Times New Roman"/>
          <w:color w:val="000000" w:themeColor="text1"/>
        </w:rPr>
        <w:t>集</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文件夹，命名为</w:t>
      </w:r>
      <w:r w:rsidRPr="00F948AC">
        <w:rPr>
          <w:rFonts w:ascii="Times New Roman" w:hAnsi="Times New Roman" w:cs="Times New Roman"/>
          <w:color w:val="000000" w:themeColor="text1"/>
        </w:rPr>
        <w:t>“deviation.csv”</w:t>
      </w:r>
      <w:r w:rsidRPr="00F948AC">
        <w:rPr>
          <w:rFonts w:ascii="Times New Roman" w:hAnsi="Times New Roman" w:cs="Times New Roman"/>
          <w:color w:val="000000" w:themeColor="text1"/>
        </w:rPr>
        <w:t>。第</w:t>
      </w:r>
      <w:proofErr w:type="spellStart"/>
      <w:r w:rsidRPr="00F948AC">
        <w:rPr>
          <w:rFonts w:ascii="Times New Roman" w:hAnsi="Times New Roman" w:cs="Times New Roman"/>
          <w:color w:val="000000" w:themeColor="text1"/>
        </w:rPr>
        <w:t>i</w:t>
      </w:r>
      <w:proofErr w:type="spellEnd"/>
      <w:r w:rsidRPr="00F948AC">
        <w:rPr>
          <w:rFonts w:ascii="Times New Roman" w:hAnsi="Times New Roman" w:cs="Times New Roman"/>
          <w:color w:val="000000" w:themeColor="text1"/>
        </w:rPr>
        <w:t>支股票的平均误差及其比率的计算公式如下：</w:t>
      </w:r>
    </w:p>
    <w:p w:rsidR="00F94850" w:rsidRPr="00F948AC" w:rsidRDefault="000C4E94" w:rsidP="00F709B5">
      <w:pPr>
        <w:spacing w:line="360" w:lineRule="auto"/>
        <w:ind w:firstLine="420"/>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average diviation</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=mean(sum</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real return rate</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necessary return rate</m:t>
                      </m:r>
                    </m:e>
                    <m:sub>
                      <m:r>
                        <w:rPr>
                          <w:rFonts w:ascii="Cambria Math" w:hAnsi="Cambria Math" w:cs="Times New Roman"/>
                          <w:color w:val="000000" w:themeColor="text1"/>
                        </w:rPr>
                        <m:t>i</m:t>
                      </m:r>
                    </m:sub>
                  </m:sSub>
                </m:e>
              </m:d>
            </m:e>
            <m:sup>
              <m:r>
                <m:rPr>
                  <m:sty m:val="p"/>
                </m:rPr>
                <w:rPr>
                  <w:rFonts w:ascii="Cambria Math" w:hAnsi="Cambria Math" w:cs="Times New Roman"/>
                  <w:color w:val="000000" w:themeColor="text1"/>
                </w:rPr>
                <m:t>2</m:t>
              </m:r>
            </m:sup>
          </m:sSup>
          <m:r>
            <m:rPr>
              <m:sty m:val="p"/>
            </m:rPr>
            <w:rPr>
              <w:rFonts w:ascii="Cambria Math" w:hAnsi="Cambria Math" w:cs="Times New Roman"/>
              <w:color w:val="000000" w:themeColor="text1"/>
            </w:rPr>
            <m:t>))^0.5</m:t>
          </m:r>
        </m:oMath>
      </m:oMathPara>
    </w:p>
    <w:p w:rsidR="00F94850" w:rsidRPr="00F948AC" w:rsidRDefault="00F94850" w:rsidP="00F709B5">
      <w:pPr>
        <w:spacing w:line="360" w:lineRule="auto"/>
        <w:ind w:firstLine="420"/>
        <w:rPr>
          <w:rFonts w:ascii="Times New Roman" w:hAnsi="Times New Roman" w:cs="Times New Roman"/>
          <w:color w:val="000000" w:themeColor="text1"/>
        </w:rPr>
      </w:pPr>
      <m:oMathPara>
        <m:oMath>
          <m:r>
            <m:rPr>
              <m:sty m:val="p"/>
            </m:rPr>
            <w:rPr>
              <w:rFonts w:ascii="Cambria Math" w:hAnsi="Cambria Math" w:cs="Times New Roman"/>
              <w:color w:val="000000" w:themeColor="text1"/>
            </w:rPr>
            <m:t>ratio=</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average diviation</m:t>
              </m:r>
            </m:e>
            <m:sub>
              <m:r>
                <w:rPr>
                  <w:rFonts w:ascii="Cambria Math" w:hAnsi="Cambria Math" w:cs="Times New Roman"/>
                  <w:color w:val="000000" w:themeColor="text1"/>
                </w:rPr>
                <m:t>i</m:t>
              </m:r>
            </m:sub>
          </m:sSub>
          <m:r>
            <w:rPr>
              <w:rFonts w:ascii="Cambria Math" w:hAnsi="Cambria Math" w:cs="Times New Roman"/>
              <w:color w:val="000000" w:themeColor="text1"/>
            </w:rPr>
            <m:t>/</m:t>
          </m:r>
          <m:r>
            <m:rPr>
              <m:sty m:val="p"/>
            </m:rPr>
            <w:rPr>
              <w:rFonts w:ascii="Cambria Math" w:hAnsi="Cambria Math" w:cs="Times New Roman"/>
              <w:color w:val="000000" w:themeColor="text1"/>
            </w:rPr>
            <m:t>mean</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real return rate</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p w:rsidR="00F94850" w:rsidRPr="00F948AC" w:rsidRDefault="00F94850" w:rsidP="00F709B5">
      <w:pPr>
        <w:pStyle w:val="2"/>
        <w:spacing w:before="0" w:after="0" w:line="360" w:lineRule="auto"/>
        <w:rPr>
          <w:rFonts w:ascii="Times New Roman" w:hAnsi="Times New Roman" w:cs="Times New Roman"/>
          <w:color w:val="000000" w:themeColor="text1"/>
        </w:rPr>
      </w:pPr>
      <w:bookmarkStart w:id="9" w:name="_Toc512116423"/>
      <w:r w:rsidRPr="00F948AC">
        <w:rPr>
          <w:rFonts w:ascii="Times New Roman" w:hAnsi="Times New Roman" w:cs="Times New Roman"/>
          <w:color w:val="000000" w:themeColor="text1"/>
        </w:rPr>
        <w:lastRenderedPageBreak/>
        <w:t>（三）操作步骤</w:t>
      </w:r>
      <w:bookmarkEnd w:id="9"/>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1</w:t>
      </w:r>
      <w:r w:rsidRPr="00415C05">
        <w:rPr>
          <w:rFonts w:ascii="Times New Roman" w:hAnsi="Times New Roman" w:cs="Times New Roman"/>
          <w:b/>
          <w:color w:val="000000" w:themeColor="text1"/>
        </w:rPr>
        <w:t>．准备工作及注意事项</w:t>
      </w:r>
    </w:p>
    <w:p w:rsidR="00F94850" w:rsidRPr="00F948AC" w:rsidRDefault="00F94850"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）将附件中</w:t>
      </w:r>
      <w:r w:rsidRPr="00F948AC">
        <w:rPr>
          <w:rFonts w:ascii="Times New Roman" w:hAnsi="Times New Roman" w:cs="Times New Roman"/>
          <w:color w:val="000000" w:themeColor="text1"/>
        </w:rPr>
        <w:t>“testing-index.csv”</w:t>
      </w:r>
      <w:r w:rsidRPr="00F948AC">
        <w:rPr>
          <w:rFonts w:ascii="Times New Roman" w:hAnsi="Times New Roman" w:cs="Times New Roman"/>
          <w:color w:val="000000" w:themeColor="text1"/>
        </w:rPr>
        <w:t>文件、</w:t>
      </w:r>
      <w:r w:rsidRPr="00F948AC">
        <w:rPr>
          <w:rFonts w:ascii="Times New Roman" w:hAnsi="Times New Roman" w:cs="Times New Roman"/>
          <w:color w:val="000000" w:themeColor="text1"/>
        </w:rPr>
        <w:t>“testing-stock.csv”</w:t>
      </w:r>
      <w:r w:rsidRPr="00F948AC">
        <w:rPr>
          <w:rFonts w:ascii="Times New Roman" w:hAnsi="Times New Roman" w:cs="Times New Roman"/>
          <w:color w:val="000000" w:themeColor="text1"/>
        </w:rPr>
        <w:t>文件、</w:t>
      </w:r>
      <w:r w:rsidRPr="00F948AC">
        <w:rPr>
          <w:rFonts w:ascii="Times New Roman" w:hAnsi="Times New Roman" w:cs="Times New Roman"/>
          <w:color w:val="000000" w:themeColor="text1"/>
        </w:rPr>
        <w:t>“data-index.csv”</w:t>
      </w:r>
      <w:r w:rsidRPr="00F948AC">
        <w:rPr>
          <w:rFonts w:ascii="Times New Roman" w:hAnsi="Times New Roman" w:cs="Times New Roman"/>
          <w:color w:val="000000" w:themeColor="text1"/>
        </w:rPr>
        <w:t>文件、</w:t>
      </w:r>
      <w:r w:rsidRPr="00F948AC">
        <w:rPr>
          <w:rFonts w:ascii="Times New Roman" w:hAnsi="Times New Roman" w:cs="Times New Roman"/>
          <w:color w:val="000000" w:themeColor="text1"/>
        </w:rPr>
        <w:t>“data-stock</w:t>
      </w:r>
      <w:r w:rsidRPr="00F948AC">
        <w:rPr>
          <w:rFonts w:ascii="Times New Roman" w:hAnsi="Times New Roman" w:cs="Times New Roman"/>
          <w:color w:val="000000" w:themeColor="text1"/>
        </w:rPr>
        <w:t>（已处理）</w:t>
      </w:r>
      <w:r w:rsidRPr="00F948AC">
        <w:rPr>
          <w:rFonts w:ascii="Times New Roman" w:hAnsi="Times New Roman" w:cs="Times New Roman"/>
          <w:color w:val="000000" w:themeColor="text1"/>
        </w:rPr>
        <w:t>.csv”</w:t>
      </w:r>
      <w:r w:rsidRPr="00F948AC">
        <w:rPr>
          <w:rFonts w:ascii="Times New Roman" w:hAnsi="Times New Roman" w:cs="Times New Roman"/>
          <w:color w:val="000000" w:themeColor="text1"/>
        </w:rPr>
        <w:t>文件放于</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00A938C6" w:rsidRPr="00F948AC">
        <w:rPr>
          <w:rFonts w:ascii="Times New Roman" w:hAnsi="Times New Roman" w:cs="Times New Roman"/>
          <w:color w:val="000000" w:themeColor="text1"/>
        </w:rPr>
        <w:t>；</w:t>
      </w:r>
    </w:p>
    <w:p w:rsidR="00F94850" w:rsidRPr="00F948AC" w:rsidRDefault="00F94850"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）代码操作结果将自动创建并保存于</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盘的</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data</w:t>
      </w:r>
      <w:r w:rsidRPr="00F948AC">
        <w:rPr>
          <w:rFonts w:ascii="Times New Roman" w:hAnsi="Times New Roman" w:cs="Times New Roman"/>
          <w:color w:val="000000" w:themeColor="text1"/>
        </w:rPr>
        <w:t>集</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文件夹及</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graphs”</w:t>
      </w:r>
      <w:r w:rsidRPr="00F948AC">
        <w:rPr>
          <w:rFonts w:ascii="Times New Roman" w:hAnsi="Times New Roman" w:cs="Times New Roman"/>
          <w:color w:val="000000" w:themeColor="text1"/>
        </w:rPr>
        <w:t>文件夹中，每次运行程序前，</w:t>
      </w:r>
      <w:proofErr w:type="gramStart"/>
      <w:r w:rsidRPr="00F948AC">
        <w:rPr>
          <w:rFonts w:ascii="Times New Roman" w:hAnsi="Times New Roman" w:cs="Times New Roman"/>
          <w:color w:val="000000" w:themeColor="text1"/>
        </w:rPr>
        <w:t>请确定</w:t>
      </w:r>
      <w:proofErr w:type="gramEnd"/>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盘中不包含同名文件夹</w:t>
      </w:r>
      <w:r w:rsidR="00A938C6" w:rsidRPr="00F948AC">
        <w:rPr>
          <w:rFonts w:ascii="Times New Roman" w:hAnsi="Times New Roman" w:cs="Times New Roman"/>
          <w:color w:val="000000" w:themeColor="text1"/>
        </w:rPr>
        <w:t>；</w:t>
      </w:r>
    </w:p>
    <w:p w:rsidR="00F94850" w:rsidRPr="00F948AC" w:rsidRDefault="00F94850"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）由于代码中包含随机抽样函数（</w:t>
      </w:r>
      <w:r w:rsidRPr="00F948AC">
        <w:rPr>
          <w:rFonts w:ascii="Times New Roman" w:hAnsi="Times New Roman" w:cs="Times New Roman"/>
          <w:color w:val="000000" w:themeColor="text1"/>
        </w:rPr>
        <w:t>“samples(x, n)”</w:t>
      </w:r>
      <w:r w:rsidRPr="00F948AC">
        <w:rPr>
          <w:rFonts w:ascii="Times New Roman" w:hAnsi="Times New Roman" w:cs="Times New Roman"/>
          <w:color w:val="000000" w:themeColor="text1"/>
        </w:rPr>
        <w:t>），运行程序所得结果可能与下文分析结果不同</w:t>
      </w:r>
      <w:r w:rsidR="00A938C6" w:rsidRPr="00F948AC">
        <w:rPr>
          <w:rFonts w:ascii="Times New Roman" w:hAnsi="Times New Roman" w:cs="Times New Roman"/>
          <w:color w:val="000000" w:themeColor="text1"/>
        </w:rPr>
        <w:t>；</w:t>
      </w:r>
    </w:p>
    <w:p w:rsidR="00F94850" w:rsidRPr="00F948AC" w:rsidRDefault="00F94850"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4</w:t>
      </w:r>
      <w:r w:rsidRPr="00F948AC">
        <w:rPr>
          <w:rFonts w:ascii="Times New Roman" w:hAnsi="Times New Roman" w:cs="Times New Roman"/>
          <w:color w:val="000000" w:themeColor="text1"/>
        </w:rPr>
        <w:t>）代码中有一处</w:t>
      </w:r>
      <w:r w:rsidRPr="00F948AC">
        <w:rPr>
          <w:rFonts w:ascii="Times New Roman" w:hAnsi="Times New Roman" w:cs="Times New Roman"/>
          <w:color w:val="000000" w:themeColor="text1"/>
        </w:rPr>
        <w:t>warning messages</w:t>
      </w:r>
      <w:r w:rsidRPr="00F948AC">
        <w:rPr>
          <w:rFonts w:ascii="Times New Roman" w:hAnsi="Times New Roman" w:cs="Times New Roman"/>
          <w:color w:val="000000" w:themeColor="text1"/>
        </w:rPr>
        <w:t>，这是由于数据框内包含名称相同的列，但不影响代码运行及结果分析。</w:t>
      </w:r>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2</w:t>
      </w:r>
      <w:r w:rsidRPr="00415C05">
        <w:rPr>
          <w:rFonts w:ascii="Times New Roman" w:hAnsi="Times New Roman" w:cs="Times New Roman"/>
          <w:b/>
          <w:color w:val="000000" w:themeColor="text1"/>
        </w:rPr>
        <w:t>．代码运行</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在</w:t>
      </w:r>
      <w:proofErr w:type="spellStart"/>
      <w:r w:rsidRPr="00F948AC">
        <w:rPr>
          <w:rFonts w:ascii="Times New Roman" w:hAnsi="Times New Roman" w:cs="Times New Roman"/>
          <w:color w:val="000000" w:themeColor="text1"/>
        </w:rPr>
        <w:t>RStudio</w:t>
      </w:r>
      <w:proofErr w:type="spellEnd"/>
      <w:r w:rsidRPr="00F948AC">
        <w:rPr>
          <w:rFonts w:ascii="Times New Roman" w:hAnsi="Times New Roman" w:cs="Times New Roman"/>
          <w:color w:val="000000" w:themeColor="text1"/>
        </w:rPr>
        <w:t>中运行附件</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模型拟合检验</w:t>
      </w:r>
      <w:r w:rsidRPr="00F948AC">
        <w:rPr>
          <w:rFonts w:ascii="Times New Roman" w:hAnsi="Times New Roman" w:cs="Times New Roman"/>
          <w:color w:val="000000" w:themeColor="text1"/>
        </w:rPr>
        <w:t>.R”</w:t>
      </w:r>
      <w:r w:rsidRPr="00F948AC">
        <w:rPr>
          <w:rFonts w:ascii="Times New Roman" w:hAnsi="Times New Roman" w:cs="Times New Roman"/>
          <w:color w:val="000000" w:themeColor="text1"/>
        </w:rPr>
        <w:t>。</w:t>
      </w:r>
    </w:p>
    <w:p w:rsidR="00F94850" w:rsidRPr="00415C05" w:rsidRDefault="00F94850"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3</w:t>
      </w:r>
      <w:r w:rsidRPr="00415C05">
        <w:rPr>
          <w:rFonts w:ascii="Times New Roman" w:hAnsi="Times New Roman" w:cs="Times New Roman"/>
          <w:b/>
          <w:color w:val="000000" w:themeColor="text1"/>
        </w:rPr>
        <w:t>．查看操作结果</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操作结果包括股票池各股</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月贝塔预测值（</w:t>
      </w:r>
      <w:r w:rsidRPr="00F948AC">
        <w:rPr>
          <w:rFonts w:ascii="Times New Roman" w:hAnsi="Times New Roman" w:cs="Times New Roman"/>
          <w:color w:val="000000" w:themeColor="text1"/>
        </w:rPr>
        <w:t>prediction-beta.csv</w:t>
      </w:r>
      <w:r w:rsidRPr="00F948AC">
        <w:rPr>
          <w:rFonts w:ascii="Times New Roman" w:hAnsi="Times New Roman" w:cs="Times New Roman"/>
          <w:color w:val="000000" w:themeColor="text1"/>
        </w:rPr>
        <w:t>），各股</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月每日理论收益率（</w:t>
      </w:r>
      <w:r w:rsidRPr="00F948AC">
        <w:rPr>
          <w:rFonts w:ascii="Times New Roman" w:hAnsi="Times New Roman" w:cs="Times New Roman"/>
          <w:color w:val="000000" w:themeColor="text1"/>
        </w:rPr>
        <w:t>totaltesting.csv</w:t>
      </w:r>
      <w:r w:rsidRPr="00F948AC">
        <w:rPr>
          <w:rFonts w:ascii="Times New Roman" w:hAnsi="Times New Roman" w:cs="Times New Roman"/>
          <w:color w:val="000000" w:themeColor="text1"/>
        </w:rPr>
        <w:t>），各股拟合平均误差（</w:t>
      </w:r>
      <w:r w:rsidRPr="00F948AC">
        <w:rPr>
          <w:rFonts w:ascii="Times New Roman" w:hAnsi="Times New Roman" w:cs="Times New Roman"/>
          <w:color w:val="000000" w:themeColor="text1"/>
        </w:rPr>
        <w:t>deviation.csv</w:t>
      </w:r>
      <w:r w:rsidRPr="00F948AC">
        <w:rPr>
          <w:rFonts w:ascii="Times New Roman" w:hAnsi="Times New Roman" w:cs="Times New Roman"/>
          <w:color w:val="000000" w:themeColor="text1"/>
        </w:rPr>
        <w:t>），见于</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data</w:t>
      </w:r>
      <w:r w:rsidRPr="00F948AC">
        <w:rPr>
          <w:rFonts w:ascii="Times New Roman" w:hAnsi="Times New Roman" w:cs="Times New Roman"/>
          <w:color w:val="000000" w:themeColor="text1"/>
        </w:rPr>
        <w:t>集</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文件夹；各股拟合散点结果图集，见于</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graphs”</w:t>
      </w:r>
      <w:r w:rsidRPr="00F948AC">
        <w:rPr>
          <w:rFonts w:ascii="Times New Roman" w:hAnsi="Times New Roman" w:cs="Times New Roman"/>
          <w:color w:val="000000" w:themeColor="text1"/>
        </w:rPr>
        <w:t>文件夹。</w:t>
      </w:r>
    </w:p>
    <w:p w:rsidR="00F94850" w:rsidRPr="00F948AC" w:rsidRDefault="00F94850" w:rsidP="00F709B5">
      <w:pPr>
        <w:pStyle w:val="2"/>
        <w:spacing w:before="0" w:after="0" w:line="360" w:lineRule="auto"/>
        <w:rPr>
          <w:rFonts w:ascii="Times New Roman" w:hAnsi="Times New Roman" w:cs="Times New Roman"/>
          <w:color w:val="000000" w:themeColor="text1"/>
        </w:rPr>
      </w:pPr>
      <w:bookmarkStart w:id="10" w:name="_Toc512116424"/>
      <w:r w:rsidRPr="00F948AC">
        <w:rPr>
          <w:rFonts w:ascii="Times New Roman" w:hAnsi="Times New Roman" w:cs="Times New Roman"/>
          <w:color w:val="000000" w:themeColor="text1"/>
        </w:rPr>
        <w:t>（四）拟合结果分析</w:t>
      </w:r>
      <w:bookmarkEnd w:id="10"/>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以某次代码运算结果为例。</w:t>
      </w:r>
    </w:p>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各股的拟合误差结果如下：</w:t>
      </w:r>
    </w:p>
    <w:p w:rsidR="00F94850" w:rsidRPr="00883D8A" w:rsidRDefault="00F94850" w:rsidP="00F709B5">
      <w:pPr>
        <w:keepNext/>
        <w:spacing w:line="360" w:lineRule="auto"/>
        <w:jc w:val="center"/>
        <w:rPr>
          <w:rFonts w:ascii="Times New Roman" w:hAnsi="Times New Roman" w:cs="Times New Roman"/>
          <w:color w:val="000000" w:themeColor="text1"/>
          <w:szCs w:val="20"/>
        </w:rPr>
      </w:pPr>
      <w:r w:rsidRPr="00883D8A">
        <w:rPr>
          <w:rFonts w:ascii="Times New Roman" w:hAnsi="Times New Roman" w:cs="Times New Roman"/>
          <w:color w:val="000000" w:themeColor="text1"/>
          <w:szCs w:val="20"/>
        </w:rPr>
        <w:t>表</w:t>
      </w:r>
      <w:r w:rsidR="00B14191" w:rsidRPr="00883D8A">
        <w:rPr>
          <w:rFonts w:ascii="Times New Roman" w:hAnsi="Times New Roman" w:cs="Times New Roman"/>
          <w:color w:val="000000" w:themeColor="text1"/>
          <w:szCs w:val="20"/>
        </w:rPr>
        <w:t>3-1</w:t>
      </w:r>
      <w:r w:rsidRPr="00883D8A">
        <w:rPr>
          <w:rFonts w:ascii="Times New Roman" w:hAnsi="Times New Roman" w:cs="Times New Roman"/>
          <w:color w:val="000000" w:themeColor="text1"/>
          <w:szCs w:val="20"/>
        </w:rPr>
        <w:t xml:space="preserve">  </w:t>
      </w:r>
      <w:r w:rsidRPr="00883D8A">
        <w:rPr>
          <w:rFonts w:ascii="Times New Roman" w:hAnsi="Times New Roman" w:cs="Times New Roman"/>
          <w:color w:val="000000" w:themeColor="text1"/>
          <w:szCs w:val="20"/>
        </w:rPr>
        <w:t>股票池拟合误差表</w:t>
      </w:r>
    </w:p>
    <w:tbl>
      <w:tblPr>
        <w:tblStyle w:val="a3"/>
        <w:tblW w:w="8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
        <w:gridCol w:w="2086"/>
        <w:gridCol w:w="1136"/>
        <w:gridCol w:w="1089"/>
        <w:gridCol w:w="2086"/>
        <w:gridCol w:w="1136"/>
      </w:tblGrid>
      <w:tr w:rsidR="00E93D3B" w:rsidRPr="00F948AC" w:rsidTr="00B14191">
        <w:trPr>
          <w:trHeight w:val="56"/>
          <w:jc w:val="center"/>
        </w:trPr>
        <w:tc>
          <w:tcPr>
            <w:tcW w:w="0" w:type="auto"/>
            <w:tcBorders>
              <w:top w:val="single" w:sz="12" w:space="0" w:color="auto"/>
              <w:bottom w:val="single" w:sz="8" w:space="0" w:color="auto"/>
            </w:tcBorders>
            <w:noWrap/>
            <w:vAlign w:val="center"/>
          </w:tcPr>
          <w:p w:rsidR="00F94850" w:rsidRPr="00F948AC" w:rsidRDefault="00F94850"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Number</w:t>
            </w:r>
          </w:p>
        </w:tc>
        <w:tc>
          <w:tcPr>
            <w:tcW w:w="0" w:type="auto"/>
            <w:tcBorders>
              <w:top w:val="single" w:sz="12" w:space="0" w:color="auto"/>
              <w:bottom w:val="single" w:sz="8" w:space="0" w:color="auto"/>
            </w:tcBorders>
            <w:noWrap/>
            <w:vAlign w:val="center"/>
          </w:tcPr>
          <w:p w:rsidR="00F94850" w:rsidRPr="00F948AC" w:rsidRDefault="00F94850" w:rsidP="00F709B5">
            <w:pPr>
              <w:widowControl/>
              <w:spacing w:line="360" w:lineRule="auto"/>
              <w:jc w:val="center"/>
              <w:rPr>
                <w:rFonts w:ascii="Times New Roman" w:hAnsi="Times New Roman" w:cs="Times New Roman"/>
                <w:b/>
                <w:color w:val="000000" w:themeColor="text1"/>
                <w:kern w:val="0"/>
                <w:szCs w:val="21"/>
              </w:rPr>
            </w:pPr>
            <w:r w:rsidRPr="00F948AC">
              <w:rPr>
                <w:rFonts w:ascii="Times New Roman" w:hAnsi="Times New Roman" w:cs="Times New Roman"/>
                <w:b/>
                <w:color w:val="000000" w:themeColor="text1"/>
                <w:kern w:val="0"/>
                <w:szCs w:val="21"/>
              </w:rPr>
              <w:t>Average deviation</w:t>
            </w:r>
          </w:p>
        </w:tc>
        <w:tc>
          <w:tcPr>
            <w:tcW w:w="0" w:type="auto"/>
            <w:tcBorders>
              <w:top w:val="single" w:sz="12" w:space="0" w:color="auto"/>
              <w:bottom w:val="single" w:sz="8" w:space="0" w:color="auto"/>
            </w:tcBorders>
            <w:noWrap/>
            <w:vAlign w:val="center"/>
          </w:tcPr>
          <w:p w:rsidR="00F94850" w:rsidRPr="00F948AC" w:rsidRDefault="00F94850" w:rsidP="00F709B5">
            <w:pPr>
              <w:widowControl/>
              <w:spacing w:line="360" w:lineRule="auto"/>
              <w:jc w:val="center"/>
              <w:rPr>
                <w:rFonts w:ascii="Times New Roman" w:hAnsi="Times New Roman" w:cs="Times New Roman"/>
                <w:b/>
                <w:color w:val="000000" w:themeColor="text1"/>
                <w:kern w:val="0"/>
                <w:szCs w:val="21"/>
              </w:rPr>
            </w:pPr>
            <w:r w:rsidRPr="00F948AC">
              <w:rPr>
                <w:rFonts w:ascii="Times New Roman" w:hAnsi="Times New Roman" w:cs="Times New Roman"/>
                <w:b/>
                <w:color w:val="000000" w:themeColor="text1"/>
                <w:kern w:val="0"/>
                <w:szCs w:val="21"/>
              </w:rPr>
              <w:t>Ratio</w:t>
            </w:r>
          </w:p>
        </w:tc>
        <w:tc>
          <w:tcPr>
            <w:tcW w:w="0" w:type="auto"/>
            <w:tcBorders>
              <w:top w:val="single" w:sz="12" w:space="0" w:color="auto"/>
              <w:bottom w:val="single" w:sz="8" w:space="0" w:color="auto"/>
            </w:tcBorders>
            <w:vAlign w:val="center"/>
          </w:tcPr>
          <w:p w:rsidR="00F94850" w:rsidRPr="00F948AC" w:rsidRDefault="00F94850"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Number</w:t>
            </w:r>
          </w:p>
        </w:tc>
        <w:tc>
          <w:tcPr>
            <w:tcW w:w="0" w:type="auto"/>
            <w:tcBorders>
              <w:top w:val="single" w:sz="12" w:space="0" w:color="auto"/>
              <w:bottom w:val="single" w:sz="8" w:space="0" w:color="auto"/>
            </w:tcBorders>
            <w:vAlign w:val="center"/>
          </w:tcPr>
          <w:p w:rsidR="00F94850" w:rsidRPr="00F948AC" w:rsidRDefault="00F94850" w:rsidP="00F709B5">
            <w:pPr>
              <w:widowControl/>
              <w:spacing w:line="360" w:lineRule="auto"/>
              <w:jc w:val="center"/>
              <w:rPr>
                <w:rFonts w:ascii="Times New Roman" w:hAnsi="Times New Roman" w:cs="Times New Roman"/>
                <w:b/>
                <w:color w:val="000000" w:themeColor="text1"/>
                <w:kern w:val="0"/>
                <w:szCs w:val="21"/>
              </w:rPr>
            </w:pPr>
            <w:r w:rsidRPr="00F948AC">
              <w:rPr>
                <w:rFonts w:ascii="Times New Roman" w:hAnsi="Times New Roman" w:cs="Times New Roman"/>
                <w:b/>
                <w:color w:val="000000" w:themeColor="text1"/>
                <w:kern w:val="0"/>
                <w:szCs w:val="21"/>
              </w:rPr>
              <w:t>Average deviation</w:t>
            </w:r>
          </w:p>
        </w:tc>
        <w:tc>
          <w:tcPr>
            <w:tcW w:w="0" w:type="auto"/>
            <w:tcBorders>
              <w:top w:val="single" w:sz="12" w:space="0" w:color="auto"/>
              <w:bottom w:val="single" w:sz="8" w:space="0" w:color="auto"/>
            </w:tcBorders>
            <w:vAlign w:val="center"/>
          </w:tcPr>
          <w:p w:rsidR="00F94850" w:rsidRPr="00F948AC" w:rsidRDefault="00F94850" w:rsidP="00F709B5">
            <w:pPr>
              <w:widowControl/>
              <w:spacing w:line="360" w:lineRule="auto"/>
              <w:jc w:val="center"/>
              <w:rPr>
                <w:rFonts w:ascii="Times New Roman" w:hAnsi="Times New Roman" w:cs="Times New Roman"/>
                <w:b/>
                <w:color w:val="000000" w:themeColor="text1"/>
                <w:kern w:val="0"/>
                <w:szCs w:val="21"/>
              </w:rPr>
            </w:pPr>
            <w:r w:rsidRPr="00F948AC">
              <w:rPr>
                <w:rFonts w:ascii="Times New Roman" w:hAnsi="Times New Roman" w:cs="Times New Roman"/>
                <w:b/>
                <w:color w:val="000000" w:themeColor="text1"/>
                <w:kern w:val="0"/>
                <w:szCs w:val="21"/>
              </w:rPr>
              <w:t>Ratio</w:t>
            </w:r>
          </w:p>
        </w:tc>
      </w:tr>
      <w:tr w:rsidR="00E93D3B" w:rsidRPr="00F948AC" w:rsidTr="00B14191">
        <w:trPr>
          <w:trHeight w:val="477"/>
          <w:jc w:val="center"/>
        </w:trPr>
        <w:tc>
          <w:tcPr>
            <w:tcW w:w="0" w:type="auto"/>
            <w:tcBorders>
              <w:top w:val="single" w:sz="8" w:space="0" w:color="auto"/>
            </w:tcBorders>
            <w:noWrap/>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600308</w:t>
            </w:r>
          </w:p>
        </w:tc>
        <w:tc>
          <w:tcPr>
            <w:tcW w:w="0" w:type="auto"/>
            <w:tcBorders>
              <w:top w:val="single" w:sz="8" w:space="0" w:color="auto"/>
            </w:tcBorders>
            <w:noWrap/>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0.004539</w:t>
            </w:r>
          </w:p>
        </w:tc>
        <w:tc>
          <w:tcPr>
            <w:tcW w:w="0" w:type="auto"/>
            <w:tcBorders>
              <w:top w:val="single" w:sz="8" w:space="0" w:color="auto"/>
            </w:tcBorders>
            <w:noWrap/>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-0.71527</w:t>
            </w:r>
          </w:p>
        </w:tc>
        <w:tc>
          <w:tcPr>
            <w:tcW w:w="0" w:type="auto"/>
            <w:tcBorders>
              <w:top w:val="single" w:sz="8" w:space="0" w:color="auto"/>
            </w:tcBorders>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601798</w:t>
            </w:r>
          </w:p>
        </w:tc>
        <w:tc>
          <w:tcPr>
            <w:tcW w:w="0" w:type="auto"/>
            <w:tcBorders>
              <w:top w:val="single" w:sz="8" w:space="0" w:color="auto"/>
            </w:tcBorders>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0.005198</w:t>
            </w:r>
          </w:p>
        </w:tc>
        <w:tc>
          <w:tcPr>
            <w:tcW w:w="0" w:type="auto"/>
            <w:tcBorders>
              <w:top w:val="single" w:sz="8" w:space="0" w:color="auto"/>
            </w:tcBorders>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1.374992</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603338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0.013077</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-6.92343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600004</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0.002935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-1.49968</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600016</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0.001224</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-0.45001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603929</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0.030479</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6.967135</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600295</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0.011037</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-2.19266</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601888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0.016621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22.85341</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600120</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0.019819</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6.815981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601877</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0.015399</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2.571182</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600186</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0.007794</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-6.01532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600837</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0.003036</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-1.37676</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600369</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0.004581</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-3.25471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603012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0.002663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8.06911</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603817</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0.009486</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-4.58796</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600513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0.002205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0.688744</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lastRenderedPageBreak/>
              <w:t>600789</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0.017815</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-3.50272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600517</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0.018943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4.358729</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600508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0.010246</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-1.88326</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600705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0.004362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-5.18486</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600067</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0.002795</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-1.17572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600461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0.001592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2.794559</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600503</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0.003658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-2.96793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603166</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0.016104</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4.426899</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600641</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0.004873</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4.119814</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600518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0.003583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1.203411</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600268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0.035864</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3.45858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600688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0.002021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2.266472</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603968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0.003502</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4.085902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603298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0.005003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5.028871</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601390</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0.001726</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-1.15071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600535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0.013883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1.244386</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600493</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0.007775</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4.816525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600567</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0.008085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-1.23489</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601808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0.010262</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4.834695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601799</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0.007398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2.144075</w:t>
            </w:r>
          </w:p>
        </w:tc>
      </w:tr>
      <w:tr w:rsidR="00E93D3B"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600605</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0.010244</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-3.71287</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600169</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0.001768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-1.91119</w:t>
            </w:r>
          </w:p>
        </w:tc>
      </w:tr>
      <w:tr w:rsidR="00F94850"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601688</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0.006401</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85.39725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600583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0.004562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-2.13952</w:t>
            </w:r>
          </w:p>
        </w:tc>
      </w:tr>
      <w:tr w:rsidR="00F94850"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600213</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0.047444</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5.240464</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600101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0.006128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2.240383</w:t>
            </w:r>
          </w:p>
        </w:tc>
      </w:tr>
      <w:tr w:rsidR="00F94850"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600703</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0.011446</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-2.87389</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600383</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0.008337</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-2.05916</w:t>
            </w:r>
          </w:p>
        </w:tc>
      </w:tr>
      <w:tr w:rsidR="00F94850"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600519</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0.006002</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-2.35234</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600538</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0.012651</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26.752</w:t>
            </w:r>
          </w:p>
        </w:tc>
      </w:tr>
      <w:tr w:rsidR="00F94850" w:rsidRPr="00F948AC" w:rsidTr="00B14191">
        <w:trPr>
          <w:trHeight w:val="56"/>
          <w:jc w:val="center"/>
        </w:trPr>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600303</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0.016582</w:t>
            </w:r>
          </w:p>
        </w:tc>
        <w:tc>
          <w:tcPr>
            <w:tcW w:w="0" w:type="auto"/>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15.52382</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600095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0.040685</w:t>
            </w:r>
          </w:p>
        </w:tc>
        <w:tc>
          <w:tcPr>
            <w:tcW w:w="0" w:type="auto"/>
            <w:vAlign w:val="center"/>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4.394201</w:t>
            </w:r>
          </w:p>
        </w:tc>
      </w:tr>
      <w:tr w:rsidR="00F94850" w:rsidRPr="00F948AC" w:rsidTr="00B14191">
        <w:trPr>
          <w:trHeight w:val="56"/>
          <w:jc w:val="center"/>
        </w:trPr>
        <w:tc>
          <w:tcPr>
            <w:tcW w:w="0" w:type="auto"/>
            <w:tcBorders>
              <w:bottom w:val="single" w:sz="12" w:space="0" w:color="auto"/>
            </w:tcBorders>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603689</w:t>
            </w:r>
          </w:p>
        </w:tc>
        <w:tc>
          <w:tcPr>
            <w:tcW w:w="0" w:type="auto"/>
            <w:tcBorders>
              <w:bottom w:val="single" w:sz="12" w:space="0" w:color="auto"/>
            </w:tcBorders>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0.006467</w:t>
            </w:r>
          </w:p>
        </w:tc>
        <w:tc>
          <w:tcPr>
            <w:tcW w:w="0" w:type="auto"/>
            <w:tcBorders>
              <w:bottom w:val="single" w:sz="12" w:space="0" w:color="auto"/>
            </w:tcBorders>
            <w:noWrap/>
            <w:vAlign w:val="center"/>
            <w:hideMark/>
          </w:tcPr>
          <w:p w:rsidR="00F94850" w:rsidRPr="00F948AC" w:rsidRDefault="00F94850" w:rsidP="00F709B5">
            <w:pPr>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-7.4703</w:t>
            </w:r>
          </w:p>
        </w:tc>
        <w:tc>
          <w:tcPr>
            <w:tcW w:w="0" w:type="auto"/>
            <w:tcBorders>
              <w:bottom w:val="single" w:sz="12" w:space="0" w:color="auto"/>
            </w:tcBorders>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w:t>
            </w:r>
          </w:p>
        </w:tc>
        <w:tc>
          <w:tcPr>
            <w:tcW w:w="0" w:type="auto"/>
            <w:tcBorders>
              <w:bottom w:val="single" w:sz="12" w:space="0" w:color="auto"/>
            </w:tcBorders>
            <w:vAlign w:val="center"/>
          </w:tcPr>
          <w:p w:rsidR="00F94850" w:rsidRPr="00F948AC" w:rsidRDefault="00F94850" w:rsidP="00F709B5">
            <w:pPr>
              <w:widowControl/>
              <w:spacing w:line="360" w:lineRule="auto"/>
              <w:jc w:val="center"/>
              <w:rPr>
                <w:rFonts w:ascii="Times New Roman" w:hAnsi="Times New Roman" w:cs="Times New Roman"/>
                <w:color w:val="000000" w:themeColor="text1"/>
                <w:szCs w:val="21"/>
              </w:rPr>
            </w:pPr>
            <w:r w:rsidRPr="00F948AC">
              <w:rPr>
                <w:rFonts w:ascii="Times New Roman" w:hAnsi="Times New Roman" w:cs="Times New Roman"/>
                <w:color w:val="000000" w:themeColor="text1"/>
                <w:szCs w:val="21"/>
              </w:rPr>
              <w:t>－</w:t>
            </w:r>
          </w:p>
        </w:tc>
        <w:tc>
          <w:tcPr>
            <w:tcW w:w="0" w:type="auto"/>
            <w:tcBorders>
              <w:bottom w:val="single" w:sz="12" w:space="0" w:color="auto"/>
            </w:tcBorders>
            <w:vAlign w:val="center"/>
          </w:tcPr>
          <w:p w:rsidR="00F94850" w:rsidRPr="00F948AC" w:rsidRDefault="00F94850"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w:t>
            </w:r>
          </w:p>
        </w:tc>
      </w:tr>
    </w:tbl>
    <w:p w:rsidR="00F94850" w:rsidRPr="00F948AC" w:rsidRDefault="00F94850"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color w:val="000000" w:themeColor="text1"/>
        </w:rPr>
        <w:t>去除极端值，其平均误差为</w:t>
      </w:r>
      <w:r w:rsidRPr="00F948AC">
        <w:rPr>
          <w:rFonts w:ascii="Times New Roman" w:hAnsi="Times New Roman" w:cs="Times New Roman"/>
          <w:color w:val="000000" w:themeColor="text1"/>
        </w:rPr>
        <w:t>0.0104</w:t>
      </w:r>
      <w:r w:rsidRPr="00F948AC">
        <w:rPr>
          <w:rFonts w:ascii="Times New Roman" w:hAnsi="Times New Roman" w:cs="Times New Roman"/>
          <w:color w:val="000000" w:themeColor="text1"/>
        </w:rPr>
        <w:t>，误差</w:t>
      </w:r>
      <w:proofErr w:type="gramStart"/>
      <w:r w:rsidRPr="00F948AC">
        <w:rPr>
          <w:rFonts w:ascii="Times New Roman" w:hAnsi="Times New Roman" w:cs="Times New Roman"/>
          <w:color w:val="000000" w:themeColor="text1"/>
        </w:rPr>
        <w:t>占平均</w:t>
      </w:r>
      <w:proofErr w:type="gramEnd"/>
      <w:r w:rsidRPr="00F948AC">
        <w:rPr>
          <w:rFonts w:ascii="Times New Roman" w:hAnsi="Times New Roman" w:cs="Times New Roman"/>
          <w:color w:val="000000" w:themeColor="text1"/>
        </w:rPr>
        <w:t>实际收益率的比率平均值为</w:t>
      </w:r>
      <w:r w:rsidRPr="00F948AC">
        <w:rPr>
          <w:rFonts w:ascii="Times New Roman" w:hAnsi="Times New Roman" w:cs="Times New Roman"/>
          <w:color w:val="000000" w:themeColor="text1"/>
        </w:rPr>
        <w:t>4.477</w:t>
      </w:r>
      <w:r w:rsidRPr="00F948AC">
        <w:rPr>
          <w:rFonts w:ascii="Times New Roman" w:hAnsi="Times New Roman" w:cs="Times New Roman"/>
          <w:color w:val="000000" w:themeColor="text1"/>
        </w:rPr>
        <w:t>，拟合结果有待提高，说明存在依据</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模型判断股票实际价值与现值之间的差异，调整投资策略从而获利的机会。</w:t>
      </w:r>
    </w:p>
    <w:p w:rsidR="00F94850" w:rsidRPr="00F948AC" w:rsidRDefault="00CE0EAB" w:rsidP="00F709B5">
      <w:pPr>
        <w:spacing w:line="360" w:lineRule="auto"/>
        <w:ind w:firstLine="420"/>
        <w:rPr>
          <w:rFonts w:ascii="Times New Roman" w:hAnsi="Times New Roman" w:cs="Times New Roman"/>
          <w:color w:val="000000" w:themeColor="text1"/>
        </w:rPr>
      </w:pPr>
      <w:r w:rsidRPr="00F948AC">
        <w:rPr>
          <w:rFonts w:ascii="Times New Roman" w:hAnsi="Times New Roman" w:cs="Times New Roman"/>
          <w:noProof/>
          <w:color w:val="000000" w:themeColor="text1"/>
        </w:rPr>
        <w:lastRenderedPageBreak/>
        <w:drawing>
          <wp:anchor distT="0" distB="0" distL="114300" distR="114300" simplePos="0" relativeHeight="251659264" behindDoc="0" locked="0" layoutInCell="1" allowOverlap="1" wp14:anchorId="22D4E674" wp14:editId="5C99B91F">
            <wp:simplePos x="0" y="0"/>
            <wp:positionH relativeFrom="column">
              <wp:posOffset>2750820</wp:posOffset>
            </wp:positionH>
            <wp:positionV relativeFrom="paragraph">
              <wp:posOffset>680085</wp:posOffset>
            </wp:positionV>
            <wp:extent cx="2914650" cy="3009265"/>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14650"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8AC">
        <w:rPr>
          <w:rFonts w:ascii="Times New Roman" w:hAnsi="Times New Roman" w:cs="Times New Roman"/>
          <w:noProof/>
          <w:color w:val="000000" w:themeColor="text1"/>
        </w:rPr>
        <w:drawing>
          <wp:anchor distT="0" distB="0" distL="114300" distR="114300" simplePos="0" relativeHeight="251660288" behindDoc="0" locked="0" layoutInCell="1" allowOverlap="1" wp14:anchorId="105FB0F5" wp14:editId="4214608D">
            <wp:simplePos x="0" y="0"/>
            <wp:positionH relativeFrom="column">
              <wp:posOffset>-154305</wp:posOffset>
            </wp:positionH>
            <wp:positionV relativeFrom="paragraph">
              <wp:posOffset>680085</wp:posOffset>
            </wp:positionV>
            <wp:extent cx="2905125" cy="299974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5125" cy="2999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850" w:rsidRPr="00F948AC">
        <w:rPr>
          <w:rFonts w:ascii="Times New Roman" w:hAnsi="Times New Roman" w:cs="Times New Roman"/>
          <w:color w:val="000000" w:themeColor="text1"/>
        </w:rPr>
        <w:t>样本散点图如下，仅列举两幅，其余散点图见附件压缩包</w:t>
      </w:r>
      <w:r w:rsidR="00F94850" w:rsidRPr="00F948AC">
        <w:rPr>
          <w:rFonts w:ascii="Times New Roman" w:hAnsi="Times New Roman" w:cs="Times New Roman"/>
          <w:color w:val="000000" w:themeColor="text1"/>
        </w:rPr>
        <w:t>“</w:t>
      </w:r>
      <w:r w:rsidR="00F94850" w:rsidRPr="00F948AC">
        <w:rPr>
          <w:rFonts w:ascii="Times New Roman" w:hAnsi="Times New Roman" w:cs="Times New Roman"/>
          <w:color w:val="000000" w:themeColor="text1"/>
        </w:rPr>
        <w:t>聂聪金工小组操作</w:t>
      </w:r>
      <w:r w:rsidR="00F94850" w:rsidRPr="00F948AC">
        <w:rPr>
          <w:rFonts w:ascii="Times New Roman" w:hAnsi="Times New Roman" w:cs="Times New Roman"/>
          <w:color w:val="000000" w:themeColor="text1"/>
        </w:rPr>
        <w:t>graphs”</w:t>
      </w:r>
      <w:r w:rsidR="00F94850" w:rsidRPr="00F948AC">
        <w:rPr>
          <w:rFonts w:ascii="Times New Roman" w:hAnsi="Times New Roman" w:cs="Times New Roman"/>
          <w:color w:val="000000" w:themeColor="text1"/>
        </w:rPr>
        <w:t>文件夹中。</w:t>
      </w:r>
    </w:p>
    <w:p w:rsidR="00F94850" w:rsidRPr="00F948AC" w:rsidRDefault="00F94850" w:rsidP="00F709B5">
      <w:pPr>
        <w:spacing w:line="360" w:lineRule="auto"/>
        <w:jc w:val="left"/>
        <w:rPr>
          <w:rFonts w:ascii="Times New Roman" w:hAnsi="Times New Roman" w:cs="Times New Roman"/>
          <w:color w:val="000000" w:themeColor="text1"/>
        </w:rPr>
      </w:pPr>
    </w:p>
    <w:p w:rsidR="00F94850" w:rsidRPr="00883D8A" w:rsidRDefault="00F94850" w:rsidP="00F709B5">
      <w:pPr>
        <w:spacing w:line="360" w:lineRule="auto"/>
        <w:jc w:val="center"/>
        <w:rPr>
          <w:rFonts w:ascii="Times New Roman" w:hAnsi="Times New Roman" w:cs="Times New Roman"/>
          <w:color w:val="000000" w:themeColor="text1"/>
          <w:szCs w:val="21"/>
        </w:rPr>
      </w:pPr>
      <w:r w:rsidRPr="00883D8A">
        <w:rPr>
          <w:rFonts w:ascii="Times New Roman" w:hAnsi="Times New Roman" w:cs="Times New Roman"/>
          <w:color w:val="000000" w:themeColor="text1"/>
          <w:szCs w:val="21"/>
        </w:rPr>
        <w:t>图</w:t>
      </w:r>
      <w:r w:rsidR="00B14191" w:rsidRPr="00883D8A">
        <w:rPr>
          <w:rFonts w:ascii="Times New Roman" w:hAnsi="Times New Roman" w:cs="Times New Roman"/>
          <w:color w:val="000000" w:themeColor="text1"/>
          <w:szCs w:val="21"/>
        </w:rPr>
        <w:t>3-1</w:t>
      </w:r>
      <w:r w:rsidRPr="00883D8A">
        <w:rPr>
          <w:rFonts w:ascii="Times New Roman" w:hAnsi="Times New Roman" w:cs="Times New Roman"/>
          <w:color w:val="000000" w:themeColor="text1"/>
          <w:szCs w:val="21"/>
        </w:rPr>
        <w:t xml:space="preserve">  </w:t>
      </w:r>
      <w:r w:rsidRPr="00883D8A">
        <w:rPr>
          <w:rFonts w:ascii="Times New Roman" w:hAnsi="Times New Roman" w:cs="Times New Roman"/>
          <w:color w:val="000000" w:themeColor="text1"/>
          <w:szCs w:val="21"/>
        </w:rPr>
        <w:t>拟合散点图（示例）</w:t>
      </w:r>
    </w:p>
    <w:p w:rsidR="00F94850" w:rsidRPr="00F948AC" w:rsidRDefault="00F94850" w:rsidP="00F709B5">
      <w:pPr>
        <w:spacing w:line="360" w:lineRule="auto"/>
        <w:rPr>
          <w:rFonts w:ascii="Times New Roman" w:hAnsi="Times New Roman" w:cs="Times New Roman"/>
          <w:color w:val="000000" w:themeColor="text1"/>
        </w:rPr>
      </w:pPr>
    </w:p>
    <w:p w:rsidR="0041327F" w:rsidRPr="00F948AC" w:rsidRDefault="006F39B1" w:rsidP="00F709B5">
      <w:pPr>
        <w:pStyle w:val="1"/>
        <w:spacing w:before="0" w:after="0" w:line="360" w:lineRule="auto"/>
        <w:rPr>
          <w:rFonts w:ascii="Times New Roman" w:hAnsi="Times New Roman" w:cs="Times New Roman"/>
          <w:color w:val="000000" w:themeColor="text1"/>
        </w:rPr>
      </w:pPr>
      <w:bookmarkStart w:id="11" w:name="_Toc512116425"/>
      <w:r>
        <w:rPr>
          <w:rFonts w:ascii="Times New Roman" w:hAnsi="Times New Roman" w:cs="Times New Roman" w:hint="eastAsia"/>
          <w:color w:val="000000" w:themeColor="text1"/>
        </w:rPr>
        <w:t>四</w:t>
      </w:r>
      <w:r w:rsidR="0041327F" w:rsidRPr="00F948AC">
        <w:rPr>
          <w:rFonts w:ascii="Times New Roman" w:hAnsi="Times New Roman" w:cs="Times New Roman"/>
          <w:color w:val="000000" w:themeColor="text1"/>
        </w:rPr>
        <w:t>、交易策略</w:t>
      </w:r>
      <w:bookmarkEnd w:id="11"/>
    </w:p>
    <w:p w:rsidR="00CE0EAB" w:rsidRPr="00F948AC" w:rsidRDefault="00CE0EAB" w:rsidP="00F709B5">
      <w:pPr>
        <w:pStyle w:val="2"/>
        <w:spacing w:before="0" w:after="0" w:line="360" w:lineRule="auto"/>
        <w:rPr>
          <w:rFonts w:ascii="Times New Roman" w:hAnsi="Times New Roman" w:cs="Times New Roman"/>
          <w:color w:val="000000" w:themeColor="text1"/>
        </w:rPr>
      </w:pPr>
      <w:bookmarkStart w:id="12" w:name="_Toc512116426"/>
      <w:r w:rsidRPr="00F948AC">
        <w:rPr>
          <w:rFonts w:ascii="Times New Roman" w:hAnsi="Times New Roman" w:cs="Times New Roman"/>
          <w:color w:val="000000" w:themeColor="text1"/>
        </w:rPr>
        <w:t>（一）操作目的</w:t>
      </w:r>
      <w:bookmarkEnd w:id="12"/>
    </w:p>
    <w:p w:rsidR="00CE0EAB" w:rsidRPr="00F948AC" w:rsidRDefault="00E93D3B"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根据</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模型计算出</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月份所有上证</w:t>
      </w:r>
      <w:r w:rsidRPr="00F948AC">
        <w:rPr>
          <w:rFonts w:ascii="Times New Roman" w:hAnsi="Times New Roman" w:cs="Times New Roman"/>
          <w:color w:val="000000" w:themeColor="text1"/>
        </w:rPr>
        <w:t>A</w:t>
      </w:r>
      <w:r w:rsidRPr="00F948AC">
        <w:rPr>
          <w:rFonts w:ascii="Times New Roman" w:hAnsi="Times New Roman" w:cs="Times New Roman"/>
          <w:color w:val="000000" w:themeColor="text1"/>
        </w:rPr>
        <w:t>股的</w:t>
      </w:r>
      <w:r w:rsidRPr="00F948AC">
        <w:rPr>
          <w:rFonts w:ascii="Times New Roman" w:hAnsi="Times New Roman" w:cs="Times New Roman"/>
          <w:color w:val="000000" w:themeColor="text1"/>
        </w:rPr>
        <w:t>β</w:t>
      </w:r>
      <w:r w:rsidRPr="00F948AC">
        <w:rPr>
          <w:rFonts w:ascii="Times New Roman" w:hAnsi="Times New Roman" w:cs="Times New Roman"/>
          <w:color w:val="000000" w:themeColor="text1"/>
        </w:rPr>
        <w:t>值，必要收益率和实际收益率相比，筛选出</w:t>
      </w:r>
      <w:r w:rsidR="00CE0EAB" w:rsidRPr="00F948AC">
        <w:rPr>
          <w:rFonts w:ascii="Times New Roman" w:hAnsi="Times New Roman" w:cs="Times New Roman"/>
          <w:color w:val="000000" w:themeColor="text1"/>
        </w:rPr>
        <w:t>被</w:t>
      </w:r>
      <w:r w:rsidR="00A33222" w:rsidRPr="00F948AC">
        <w:rPr>
          <w:rFonts w:ascii="Times New Roman" w:hAnsi="Times New Roman" w:cs="Times New Roman"/>
          <w:color w:val="000000" w:themeColor="text1"/>
        </w:rPr>
        <w:t>低估的前</w:t>
      </w:r>
      <w:r w:rsidR="00A33222" w:rsidRPr="00F948AC">
        <w:rPr>
          <w:rFonts w:ascii="Times New Roman" w:hAnsi="Times New Roman" w:cs="Times New Roman"/>
          <w:color w:val="000000" w:themeColor="text1"/>
        </w:rPr>
        <w:t>10</w:t>
      </w:r>
      <w:r w:rsidRPr="00F948AC">
        <w:rPr>
          <w:rFonts w:ascii="Times New Roman" w:hAnsi="Times New Roman" w:cs="Times New Roman"/>
          <w:color w:val="000000" w:themeColor="text1"/>
        </w:rPr>
        <w:t>只</w:t>
      </w:r>
      <w:r w:rsidR="00A33222" w:rsidRPr="00F948AC">
        <w:rPr>
          <w:rFonts w:ascii="Times New Roman" w:hAnsi="Times New Roman" w:cs="Times New Roman"/>
          <w:color w:val="000000" w:themeColor="text1"/>
        </w:rPr>
        <w:t>股票构建股票池，</w:t>
      </w:r>
      <w:r w:rsidRPr="00F948AC">
        <w:rPr>
          <w:rFonts w:ascii="Times New Roman" w:hAnsi="Times New Roman" w:cs="Times New Roman"/>
          <w:color w:val="000000" w:themeColor="text1"/>
        </w:rPr>
        <w:t>代入量化交易平台进行</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月的策略回测</w:t>
      </w:r>
      <w:r w:rsidR="00141525" w:rsidRPr="00F948AC">
        <w:rPr>
          <w:rFonts w:ascii="Times New Roman" w:hAnsi="Times New Roman" w:cs="Times New Roman"/>
          <w:color w:val="000000" w:themeColor="text1"/>
        </w:rPr>
        <w:t>。当</w:t>
      </w:r>
      <w:r w:rsidRPr="00F948AC">
        <w:rPr>
          <w:rFonts w:ascii="Times New Roman" w:hAnsi="Times New Roman" w:cs="Times New Roman"/>
          <w:color w:val="000000" w:themeColor="text1"/>
        </w:rPr>
        <w:t>相对大盘走高时，选取股票池的资产组合执行动态调整的交易策略；相对大盘走低</w:t>
      </w:r>
      <w:r w:rsidR="00141525" w:rsidRPr="00F948AC">
        <w:rPr>
          <w:rFonts w:ascii="Times New Roman" w:hAnsi="Times New Roman" w:cs="Times New Roman"/>
          <w:color w:val="000000" w:themeColor="text1"/>
        </w:rPr>
        <w:t>时，</w:t>
      </w:r>
      <w:r w:rsidR="00A33222" w:rsidRPr="00F948AC">
        <w:rPr>
          <w:rFonts w:ascii="Times New Roman" w:hAnsi="Times New Roman" w:cs="Times New Roman"/>
          <w:color w:val="000000" w:themeColor="text1"/>
        </w:rPr>
        <w:t>从</w:t>
      </w:r>
      <w:r w:rsidR="00141525" w:rsidRPr="00F948AC">
        <w:rPr>
          <w:rFonts w:ascii="Times New Roman" w:hAnsi="Times New Roman" w:cs="Times New Roman"/>
          <w:color w:val="000000" w:themeColor="text1"/>
        </w:rPr>
        <w:t>股票池</w:t>
      </w:r>
      <w:r w:rsidR="00A33222" w:rsidRPr="00F948AC">
        <w:rPr>
          <w:rFonts w:ascii="Times New Roman" w:hAnsi="Times New Roman" w:cs="Times New Roman"/>
          <w:color w:val="000000" w:themeColor="text1"/>
        </w:rPr>
        <w:t>中</w:t>
      </w:r>
      <w:r w:rsidR="00141525" w:rsidRPr="00F948AC">
        <w:rPr>
          <w:rFonts w:ascii="Times New Roman" w:hAnsi="Times New Roman" w:cs="Times New Roman"/>
          <w:color w:val="000000" w:themeColor="text1"/>
        </w:rPr>
        <w:t>再</w:t>
      </w:r>
      <w:r w:rsidRPr="00F948AC">
        <w:rPr>
          <w:rFonts w:ascii="Times New Roman" w:hAnsi="Times New Roman" w:cs="Times New Roman"/>
          <w:color w:val="000000" w:themeColor="text1"/>
        </w:rPr>
        <w:t>挑选</w:t>
      </w:r>
      <w:proofErr w:type="gramStart"/>
      <w:r w:rsidRPr="00F948AC">
        <w:rPr>
          <w:rFonts w:ascii="Times New Roman" w:hAnsi="Times New Roman" w:cs="Times New Roman"/>
          <w:color w:val="000000" w:themeColor="text1"/>
        </w:rPr>
        <w:t>出交易</w:t>
      </w:r>
      <w:proofErr w:type="gramEnd"/>
      <w:r w:rsidRPr="00F948AC">
        <w:rPr>
          <w:rFonts w:ascii="Times New Roman" w:hAnsi="Times New Roman" w:cs="Times New Roman"/>
          <w:color w:val="000000" w:themeColor="text1"/>
        </w:rPr>
        <w:t>数据齐全且有正回报率的三只股票作为投资组合</w:t>
      </w:r>
      <w:r w:rsidR="00141525" w:rsidRPr="00F948AC">
        <w:rPr>
          <w:rFonts w:ascii="Times New Roman" w:hAnsi="Times New Roman" w:cs="Times New Roman"/>
          <w:color w:val="000000" w:themeColor="text1"/>
        </w:rPr>
        <w:t>，按马科维茨的均值</w:t>
      </w:r>
      <w:r w:rsidR="00141525" w:rsidRPr="00F948AC">
        <w:rPr>
          <w:rFonts w:ascii="Times New Roman" w:hAnsi="Times New Roman" w:cs="Times New Roman"/>
          <w:color w:val="000000" w:themeColor="text1"/>
        </w:rPr>
        <w:t>-</w:t>
      </w:r>
      <w:r w:rsidR="00141525" w:rsidRPr="00F948AC">
        <w:rPr>
          <w:rFonts w:ascii="Times New Roman" w:hAnsi="Times New Roman" w:cs="Times New Roman"/>
          <w:color w:val="000000" w:themeColor="text1"/>
        </w:rPr>
        <w:t>方差模型在</w:t>
      </w:r>
      <w:r w:rsidR="00141525" w:rsidRPr="00F948AC">
        <w:rPr>
          <w:rFonts w:ascii="Times New Roman" w:hAnsi="Times New Roman" w:cs="Times New Roman"/>
          <w:color w:val="000000" w:themeColor="text1"/>
        </w:rPr>
        <w:t>R</w:t>
      </w:r>
      <w:r w:rsidR="00141525" w:rsidRPr="00F948AC">
        <w:rPr>
          <w:rFonts w:ascii="Times New Roman" w:hAnsi="Times New Roman" w:cs="Times New Roman"/>
          <w:color w:val="000000" w:themeColor="text1"/>
        </w:rPr>
        <w:t>软件中求解</w:t>
      </w:r>
      <w:r w:rsidR="0029791E" w:rsidRPr="00F948AC">
        <w:rPr>
          <w:rFonts w:ascii="Times New Roman" w:hAnsi="Times New Roman" w:cs="Times New Roman"/>
          <w:color w:val="000000" w:themeColor="text1"/>
        </w:rPr>
        <w:t>得到</w:t>
      </w:r>
      <w:r w:rsidR="00141525" w:rsidRPr="00F948AC">
        <w:rPr>
          <w:rFonts w:ascii="Times New Roman" w:hAnsi="Times New Roman" w:cs="Times New Roman"/>
          <w:color w:val="000000" w:themeColor="text1"/>
        </w:rPr>
        <w:t>的</w:t>
      </w:r>
      <w:r w:rsidR="0029791E" w:rsidRPr="00F948AC">
        <w:rPr>
          <w:rFonts w:ascii="Times New Roman" w:hAnsi="Times New Roman" w:cs="Times New Roman"/>
          <w:color w:val="000000" w:themeColor="text1"/>
        </w:rPr>
        <w:t>组合</w:t>
      </w:r>
      <w:r w:rsidR="00141525" w:rsidRPr="00F948AC">
        <w:rPr>
          <w:rFonts w:ascii="Times New Roman" w:hAnsi="Times New Roman" w:cs="Times New Roman"/>
          <w:color w:val="000000" w:themeColor="text1"/>
        </w:rPr>
        <w:t>权重持有，以获得无风险回报</w:t>
      </w:r>
      <w:r w:rsidR="0029791E" w:rsidRPr="00F948AC">
        <w:rPr>
          <w:rFonts w:ascii="Times New Roman" w:hAnsi="Times New Roman" w:cs="Times New Roman"/>
          <w:color w:val="000000" w:themeColor="text1"/>
        </w:rPr>
        <w:t>。</w:t>
      </w:r>
      <w:r w:rsidR="00A938C6" w:rsidRPr="00F948AC">
        <w:rPr>
          <w:rFonts w:ascii="Times New Roman" w:hAnsi="Times New Roman" w:cs="Times New Roman"/>
          <w:color w:val="000000" w:themeColor="text1"/>
        </w:rPr>
        <w:t>（</w:t>
      </w:r>
      <w:r w:rsidR="00B14191" w:rsidRPr="00F948AC">
        <w:rPr>
          <w:rFonts w:ascii="Times New Roman" w:hAnsi="Times New Roman" w:cs="Times New Roman"/>
          <w:color w:val="000000" w:themeColor="text1"/>
        </w:rPr>
        <w:t>基于操作结果的比较，</w:t>
      </w:r>
      <w:r w:rsidR="00A938C6" w:rsidRPr="00F948AC">
        <w:rPr>
          <w:rFonts w:ascii="Times New Roman" w:hAnsi="Times New Roman" w:cs="Times New Roman"/>
          <w:color w:val="000000" w:themeColor="text1"/>
        </w:rPr>
        <w:t>实际交易策略</w:t>
      </w:r>
      <w:r w:rsidR="00B14191" w:rsidRPr="00F948AC">
        <w:rPr>
          <w:rFonts w:ascii="Times New Roman" w:hAnsi="Times New Roman" w:cs="Times New Roman"/>
          <w:color w:val="000000" w:themeColor="text1"/>
        </w:rPr>
        <w:t>对</w:t>
      </w:r>
      <w:r w:rsidR="00A938C6" w:rsidRPr="00F948AC">
        <w:rPr>
          <w:rFonts w:ascii="Times New Roman" w:hAnsi="Times New Roman" w:cs="Times New Roman"/>
          <w:color w:val="000000" w:themeColor="text1"/>
        </w:rPr>
        <w:t>“proposal.docx”</w:t>
      </w:r>
      <w:r w:rsidR="00A938C6" w:rsidRPr="00F948AC">
        <w:rPr>
          <w:rFonts w:ascii="Times New Roman" w:hAnsi="Times New Roman" w:cs="Times New Roman"/>
          <w:color w:val="000000" w:themeColor="text1"/>
        </w:rPr>
        <w:t>中</w:t>
      </w:r>
      <w:r w:rsidR="00B14191" w:rsidRPr="00F948AC">
        <w:rPr>
          <w:rFonts w:ascii="Times New Roman" w:hAnsi="Times New Roman" w:cs="Times New Roman"/>
          <w:color w:val="000000" w:themeColor="text1"/>
        </w:rPr>
        <w:t>所述</w:t>
      </w:r>
      <w:r w:rsidR="00A938C6" w:rsidRPr="00F948AC">
        <w:rPr>
          <w:rFonts w:ascii="Times New Roman" w:hAnsi="Times New Roman" w:cs="Times New Roman"/>
          <w:color w:val="000000" w:themeColor="text1"/>
        </w:rPr>
        <w:t>有</w:t>
      </w:r>
      <w:r w:rsidR="00B14191" w:rsidRPr="00F948AC">
        <w:rPr>
          <w:rFonts w:ascii="Times New Roman" w:hAnsi="Times New Roman" w:cs="Times New Roman"/>
          <w:color w:val="000000" w:themeColor="text1"/>
        </w:rPr>
        <w:t>做出调整和变动</w:t>
      </w:r>
      <w:r w:rsidR="00A938C6" w:rsidRPr="00F948AC">
        <w:rPr>
          <w:rFonts w:ascii="Times New Roman" w:hAnsi="Times New Roman" w:cs="Times New Roman"/>
          <w:color w:val="000000" w:themeColor="text1"/>
        </w:rPr>
        <w:t>）</w:t>
      </w:r>
    </w:p>
    <w:p w:rsidR="00CE0EAB" w:rsidRPr="00F948AC" w:rsidRDefault="00CE0EAB" w:rsidP="00F709B5">
      <w:pPr>
        <w:pStyle w:val="2"/>
        <w:spacing w:before="0" w:after="0" w:line="360" w:lineRule="auto"/>
        <w:rPr>
          <w:rFonts w:ascii="Times New Roman" w:hAnsi="Times New Roman" w:cs="Times New Roman"/>
          <w:color w:val="000000" w:themeColor="text1"/>
        </w:rPr>
      </w:pPr>
      <w:bookmarkStart w:id="13" w:name="_Toc512116427"/>
      <w:r w:rsidRPr="00F948AC">
        <w:rPr>
          <w:rFonts w:ascii="Times New Roman" w:hAnsi="Times New Roman" w:cs="Times New Roman"/>
          <w:color w:val="000000" w:themeColor="text1"/>
        </w:rPr>
        <w:t>（二）代码设计思路</w:t>
      </w:r>
      <w:bookmarkEnd w:id="13"/>
    </w:p>
    <w:p w:rsidR="00CE0EAB"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．计算出</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月份上证</w:t>
      </w:r>
      <w:r w:rsidR="00141525" w:rsidRPr="00F948AC">
        <w:rPr>
          <w:rFonts w:ascii="Times New Roman" w:hAnsi="Times New Roman" w:cs="Times New Roman"/>
          <w:color w:val="000000" w:themeColor="text1"/>
        </w:rPr>
        <w:t>A</w:t>
      </w:r>
      <w:r w:rsidRPr="00F948AC">
        <w:rPr>
          <w:rFonts w:ascii="Times New Roman" w:hAnsi="Times New Roman" w:cs="Times New Roman"/>
          <w:color w:val="000000" w:themeColor="text1"/>
        </w:rPr>
        <w:t>股的</w:t>
      </w:r>
      <w:r w:rsidR="001D0B3C" w:rsidRPr="00F948AC">
        <w:rPr>
          <w:rFonts w:ascii="Times New Roman" w:hAnsi="Times New Roman" w:cs="Times New Roman"/>
          <w:color w:val="000000" w:themeColor="text1"/>
        </w:rPr>
        <w:t>日</w:t>
      </w:r>
      <w:r w:rsidR="00141525" w:rsidRPr="00F948AC">
        <w:rPr>
          <w:rFonts w:ascii="Times New Roman" w:hAnsi="Times New Roman" w:cs="Times New Roman"/>
          <w:color w:val="000000" w:themeColor="text1"/>
        </w:rPr>
        <w:t>均</w:t>
      </w:r>
      <w:r w:rsidRPr="00F948AC">
        <w:rPr>
          <w:rFonts w:ascii="Times New Roman" w:hAnsi="Times New Roman" w:cs="Times New Roman"/>
          <w:color w:val="000000" w:themeColor="text1"/>
        </w:rPr>
        <w:t>收益率作为</w:t>
      </w:r>
      <w:r w:rsidRPr="00F948AC">
        <w:rPr>
          <w:rFonts w:ascii="Times New Roman" w:hAnsi="Times New Roman" w:cs="Times New Roman"/>
          <w:color w:val="000000" w:themeColor="text1"/>
        </w:rPr>
        <w:t>R</w:t>
      </w:r>
      <w:r w:rsidRPr="00F948AC">
        <w:rPr>
          <w:rFonts w:ascii="Times New Roman" w:hAnsi="Times New Roman" w:cs="Times New Roman"/>
          <w:color w:val="000000" w:themeColor="text1"/>
          <w:vertAlign w:val="subscript"/>
        </w:rPr>
        <w:t>i</w:t>
      </w:r>
      <w:r w:rsidRPr="00F948AC">
        <w:rPr>
          <w:rFonts w:ascii="Times New Roman" w:hAnsi="Times New Roman" w:cs="Times New Roman"/>
          <w:color w:val="000000" w:themeColor="text1"/>
        </w:rPr>
        <w:t>，指数</w:t>
      </w:r>
      <w:r w:rsidR="00141525" w:rsidRPr="00F948AC">
        <w:rPr>
          <w:rFonts w:ascii="Times New Roman" w:hAnsi="Times New Roman" w:cs="Times New Roman"/>
          <w:color w:val="000000" w:themeColor="text1"/>
        </w:rPr>
        <w:t>日均回报</w:t>
      </w:r>
      <w:r w:rsidRPr="00F948AC">
        <w:rPr>
          <w:rFonts w:ascii="Times New Roman" w:hAnsi="Times New Roman" w:cs="Times New Roman"/>
          <w:color w:val="000000" w:themeColor="text1"/>
        </w:rPr>
        <w:t>率作为</w:t>
      </w:r>
      <w:r w:rsidRPr="00F948AC">
        <w:rPr>
          <w:rFonts w:ascii="Times New Roman" w:hAnsi="Times New Roman" w:cs="Times New Roman"/>
          <w:color w:val="000000" w:themeColor="text1"/>
        </w:rPr>
        <w:t>R</w:t>
      </w:r>
      <w:r w:rsidRPr="00F948AC">
        <w:rPr>
          <w:rFonts w:ascii="Times New Roman" w:hAnsi="Times New Roman" w:cs="Times New Roman"/>
          <w:color w:val="000000" w:themeColor="text1"/>
          <w:vertAlign w:val="subscript"/>
        </w:rPr>
        <w:t>m</w:t>
      </w:r>
      <w:r w:rsidRPr="00F948AC">
        <w:rPr>
          <w:rFonts w:ascii="Times New Roman" w:hAnsi="Times New Roman" w:cs="Times New Roman"/>
          <w:color w:val="000000" w:themeColor="text1"/>
        </w:rPr>
        <w:t>，</w:t>
      </w:r>
      <w:proofErr w:type="gramStart"/>
      <w:r w:rsidR="001D0B3C" w:rsidRPr="00F948AC">
        <w:rPr>
          <w:rFonts w:ascii="Times New Roman" w:hAnsi="Times New Roman" w:cs="Times New Roman"/>
          <w:color w:val="000000" w:themeColor="text1"/>
        </w:rPr>
        <w:t>日</w:t>
      </w:r>
      <w:r w:rsidRPr="00F948AC">
        <w:rPr>
          <w:rFonts w:ascii="Times New Roman" w:hAnsi="Times New Roman" w:cs="Times New Roman"/>
          <w:color w:val="000000" w:themeColor="text1"/>
        </w:rPr>
        <w:t>度化</w:t>
      </w:r>
      <w:proofErr w:type="gramEnd"/>
      <w:r w:rsidRPr="00F948AC">
        <w:rPr>
          <w:rFonts w:ascii="Times New Roman" w:hAnsi="Times New Roman" w:cs="Times New Roman"/>
          <w:color w:val="000000" w:themeColor="text1"/>
        </w:rPr>
        <w:t>无风险利率为</w:t>
      </w:r>
      <w:proofErr w:type="spellStart"/>
      <w:r w:rsidRPr="00F948AC">
        <w:rPr>
          <w:rFonts w:ascii="Times New Roman" w:hAnsi="Times New Roman" w:cs="Times New Roman"/>
          <w:color w:val="000000" w:themeColor="text1"/>
        </w:rPr>
        <w:t>R</w:t>
      </w:r>
      <w:r w:rsidRPr="00F948AC">
        <w:rPr>
          <w:rFonts w:ascii="Times New Roman" w:hAnsi="Times New Roman" w:cs="Times New Roman"/>
          <w:color w:val="000000" w:themeColor="text1"/>
          <w:vertAlign w:val="subscript"/>
        </w:rPr>
        <w:t>f</w:t>
      </w:r>
      <w:proofErr w:type="spellEnd"/>
      <w:r w:rsidR="002F6469" w:rsidRPr="00F948AC">
        <w:rPr>
          <w:rFonts w:ascii="Times New Roman" w:hAnsi="Times New Roman" w:cs="Times New Roman"/>
          <w:color w:val="000000" w:themeColor="text1"/>
        </w:rPr>
        <w:t>；</w:t>
      </w:r>
    </w:p>
    <w:p w:rsidR="00CE0EAB"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．利用</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模型，计算出</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月上证</w:t>
      </w:r>
      <w:r w:rsidR="001D0B3C" w:rsidRPr="00F948AC">
        <w:rPr>
          <w:rFonts w:ascii="Times New Roman" w:hAnsi="Times New Roman" w:cs="Times New Roman"/>
          <w:color w:val="000000" w:themeColor="text1"/>
        </w:rPr>
        <w:t>A</w:t>
      </w:r>
      <w:r w:rsidRPr="00F948AC">
        <w:rPr>
          <w:rFonts w:ascii="Times New Roman" w:hAnsi="Times New Roman" w:cs="Times New Roman"/>
          <w:color w:val="000000" w:themeColor="text1"/>
        </w:rPr>
        <w:t>股的</w:t>
      </w:r>
      <w:r w:rsidRPr="00F948AC">
        <w:rPr>
          <w:rFonts w:ascii="Times New Roman" w:hAnsi="Times New Roman" w:cs="Times New Roman"/>
          <w:color w:val="000000" w:themeColor="text1"/>
        </w:rPr>
        <w:t>β</w:t>
      </w:r>
      <w:r w:rsidRPr="00F948AC">
        <w:rPr>
          <w:rFonts w:ascii="Times New Roman" w:hAnsi="Times New Roman" w:cs="Times New Roman"/>
          <w:color w:val="000000" w:themeColor="text1"/>
        </w:rPr>
        <w:t>值</w:t>
      </w:r>
      <w:r w:rsidR="002F6469" w:rsidRPr="00F948AC">
        <w:rPr>
          <w:rFonts w:ascii="Times New Roman" w:hAnsi="Times New Roman" w:cs="Times New Roman"/>
          <w:color w:val="000000" w:themeColor="text1"/>
        </w:rPr>
        <w:t>；</w:t>
      </w:r>
    </w:p>
    <w:p w:rsidR="00CE0EAB"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．计算每只个股</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月最末三日的平均收益率</w:t>
      </w:r>
      <w:proofErr w:type="spellStart"/>
      <w:r w:rsidRPr="00F948AC">
        <w:rPr>
          <w:rFonts w:ascii="Times New Roman" w:hAnsi="Times New Roman" w:cs="Times New Roman"/>
          <w:color w:val="000000" w:themeColor="text1"/>
        </w:rPr>
        <w:t>R</w:t>
      </w:r>
      <w:r w:rsidRPr="00F948AC">
        <w:rPr>
          <w:rFonts w:ascii="Times New Roman" w:hAnsi="Times New Roman" w:cs="Times New Roman"/>
          <w:color w:val="000000" w:themeColor="text1"/>
          <w:vertAlign w:val="subscript"/>
        </w:rPr>
        <w:t>ri</w:t>
      </w:r>
      <w:proofErr w:type="spellEnd"/>
      <w:r w:rsidRPr="00F948AC">
        <w:rPr>
          <w:rFonts w:ascii="Times New Roman" w:hAnsi="Times New Roman" w:cs="Times New Roman"/>
          <w:color w:val="000000" w:themeColor="text1"/>
        </w:rPr>
        <w:t>，将其与各股</w:t>
      </w:r>
      <w:r w:rsidR="001D0B3C" w:rsidRPr="00F948AC">
        <w:rPr>
          <w:rFonts w:ascii="Times New Roman" w:hAnsi="Times New Roman" w:cs="Times New Roman"/>
          <w:color w:val="000000" w:themeColor="text1"/>
        </w:rPr>
        <w:t>2</w:t>
      </w:r>
      <w:r w:rsidR="001D0B3C" w:rsidRPr="00F948AC">
        <w:rPr>
          <w:rFonts w:ascii="Times New Roman" w:hAnsi="Times New Roman" w:cs="Times New Roman"/>
          <w:color w:val="000000" w:themeColor="text1"/>
        </w:rPr>
        <w:t>月的平均</w:t>
      </w:r>
      <w:r w:rsidRPr="00F948AC">
        <w:rPr>
          <w:rFonts w:ascii="Times New Roman" w:hAnsi="Times New Roman" w:cs="Times New Roman"/>
          <w:color w:val="000000" w:themeColor="text1"/>
        </w:rPr>
        <w:t>收益率</w:t>
      </w:r>
      <w:r w:rsidRPr="00F948AC">
        <w:rPr>
          <w:rFonts w:ascii="Times New Roman" w:hAnsi="Times New Roman" w:cs="Times New Roman"/>
          <w:color w:val="000000" w:themeColor="text1"/>
        </w:rPr>
        <w:t>R</w:t>
      </w:r>
      <w:r w:rsidRPr="00F948AC">
        <w:rPr>
          <w:rFonts w:ascii="Times New Roman" w:hAnsi="Times New Roman" w:cs="Times New Roman"/>
          <w:color w:val="000000" w:themeColor="text1"/>
          <w:vertAlign w:val="subscript"/>
        </w:rPr>
        <w:t>i</w:t>
      </w:r>
      <w:r w:rsidRPr="00F948AC">
        <w:rPr>
          <w:rFonts w:ascii="Times New Roman" w:hAnsi="Times New Roman" w:cs="Times New Roman"/>
          <w:color w:val="000000" w:themeColor="text1"/>
        </w:rPr>
        <w:t>比较，筛选出</w:t>
      </w:r>
      <w:proofErr w:type="spellStart"/>
      <w:r w:rsidRPr="00F948AC">
        <w:rPr>
          <w:rFonts w:ascii="Times New Roman" w:hAnsi="Times New Roman" w:cs="Times New Roman"/>
          <w:color w:val="000000" w:themeColor="text1"/>
        </w:rPr>
        <w:t>R</w:t>
      </w:r>
      <w:r w:rsidRPr="00F948AC">
        <w:rPr>
          <w:rFonts w:ascii="Times New Roman" w:hAnsi="Times New Roman" w:cs="Times New Roman"/>
          <w:color w:val="000000" w:themeColor="text1"/>
          <w:vertAlign w:val="subscript"/>
        </w:rPr>
        <w:t>ri</w:t>
      </w:r>
      <w:proofErr w:type="spellEnd"/>
      <w:r w:rsidRPr="00F948AC">
        <w:rPr>
          <w:rFonts w:ascii="Times New Roman" w:hAnsi="Times New Roman" w:cs="Times New Roman"/>
          <w:color w:val="000000" w:themeColor="text1"/>
        </w:rPr>
        <w:t xml:space="preserve"> &gt; R</w:t>
      </w:r>
      <w:r w:rsidRPr="00F948AC">
        <w:rPr>
          <w:rFonts w:ascii="Times New Roman" w:hAnsi="Times New Roman" w:cs="Times New Roman"/>
          <w:color w:val="000000" w:themeColor="text1"/>
          <w:vertAlign w:val="subscript"/>
        </w:rPr>
        <w:t>i</w:t>
      </w:r>
      <w:r w:rsidRPr="00F948AC">
        <w:rPr>
          <w:rFonts w:ascii="Times New Roman" w:hAnsi="Times New Roman" w:cs="Times New Roman"/>
          <w:color w:val="000000" w:themeColor="text1"/>
        </w:rPr>
        <w:t>的全部股票并按绝对值从大到小排列</w:t>
      </w:r>
      <w:r w:rsidR="002F6469" w:rsidRPr="00F948AC">
        <w:rPr>
          <w:rFonts w:ascii="Times New Roman" w:hAnsi="Times New Roman" w:cs="Times New Roman"/>
          <w:color w:val="000000" w:themeColor="text1"/>
        </w:rPr>
        <w:t>；</w:t>
      </w:r>
    </w:p>
    <w:p w:rsidR="00CE0EAB"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lastRenderedPageBreak/>
        <w:t>4</w:t>
      </w:r>
      <w:r w:rsidRPr="00F948AC">
        <w:rPr>
          <w:rFonts w:ascii="Times New Roman" w:hAnsi="Times New Roman" w:cs="Times New Roman"/>
          <w:color w:val="000000" w:themeColor="text1"/>
        </w:rPr>
        <w:t>．</w:t>
      </w:r>
      <w:r w:rsidRPr="00F948AC">
        <w:rPr>
          <w:rFonts w:ascii="Times New Roman" w:hAnsi="Times New Roman" w:cs="Times New Roman"/>
          <w:color w:val="FF0000"/>
        </w:rPr>
        <w:t>假定我们是具有一定风险偏好的投资者</w:t>
      </w:r>
      <w:r w:rsidRPr="00F948AC">
        <w:rPr>
          <w:rFonts w:ascii="Times New Roman" w:hAnsi="Times New Roman" w:cs="Times New Roman"/>
          <w:color w:val="000000" w:themeColor="text1"/>
        </w:rPr>
        <w:t>，取绝对值排名前</w:t>
      </w:r>
      <w:r w:rsidRPr="00F948AC">
        <w:rPr>
          <w:rFonts w:ascii="Times New Roman" w:hAnsi="Times New Roman" w:cs="Times New Roman"/>
          <w:color w:val="000000" w:themeColor="text1"/>
        </w:rPr>
        <w:t>10</w:t>
      </w:r>
      <w:r w:rsidRPr="00F948AC">
        <w:rPr>
          <w:rFonts w:ascii="Times New Roman" w:hAnsi="Times New Roman" w:cs="Times New Roman"/>
          <w:color w:val="000000" w:themeColor="text1"/>
        </w:rPr>
        <w:t>的股票构建股票池</w:t>
      </w:r>
      <w:r w:rsidR="00A33222" w:rsidRPr="00F948AC">
        <w:rPr>
          <w:rFonts w:ascii="Times New Roman" w:hAnsi="Times New Roman" w:cs="Times New Roman"/>
          <w:color w:val="000000" w:themeColor="text1"/>
        </w:rPr>
        <w:t>pool</w:t>
      </w:r>
      <w:r w:rsidRPr="00F948AC">
        <w:rPr>
          <w:rFonts w:ascii="Times New Roman" w:hAnsi="Times New Roman" w:cs="Times New Roman"/>
          <w:color w:val="000000" w:themeColor="text1"/>
        </w:rPr>
        <w:t>，我们认</w:t>
      </w:r>
      <w:r w:rsidR="001D0B3C" w:rsidRPr="00F948AC">
        <w:rPr>
          <w:rFonts w:ascii="Times New Roman" w:hAnsi="Times New Roman" w:cs="Times New Roman"/>
          <w:color w:val="000000" w:themeColor="text1"/>
        </w:rPr>
        <w:t>为</w:t>
      </w:r>
      <w:r w:rsidR="00A33222" w:rsidRPr="00F948AC">
        <w:rPr>
          <w:rFonts w:ascii="Times New Roman" w:hAnsi="Times New Roman" w:cs="Times New Roman"/>
          <w:color w:val="000000" w:themeColor="text1"/>
        </w:rPr>
        <w:t>pool</w:t>
      </w:r>
      <w:r w:rsidRPr="00F948AC">
        <w:rPr>
          <w:rFonts w:ascii="Times New Roman" w:hAnsi="Times New Roman" w:cs="Times New Roman"/>
          <w:color w:val="000000" w:themeColor="text1"/>
        </w:rPr>
        <w:t>是在一定程度上被低估的股票池</w:t>
      </w:r>
      <w:r w:rsidR="002F6469" w:rsidRPr="00F948AC">
        <w:rPr>
          <w:rFonts w:ascii="Times New Roman" w:hAnsi="Times New Roman" w:cs="Times New Roman"/>
          <w:color w:val="000000" w:themeColor="text1"/>
        </w:rPr>
        <w:t>；</w:t>
      </w:r>
    </w:p>
    <w:p w:rsidR="002F6469" w:rsidRPr="00F948AC" w:rsidRDefault="00E0021D"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002F6469" w:rsidRPr="00F948AC">
        <w:rPr>
          <w:rFonts w:ascii="Times New Roman" w:hAnsi="Times New Roman" w:cs="Times New Roman"/>
          <w:color w:val="000000" w:themeColor="text1"/>
        </w:rPr>
        <w:t>备注：</w:t>
      </w:r>
      <w:r w:rsidRPr="00F948AC">
        <w:rPr>
          <w:rFonts w:ascii="Times New Roman" w:hAnsi="Times New Roman" w:cs="Times New Roman"/>
          <w:color w:val="000000" w:themeColor="text1"/>
        </w:rPr>
        <w:t>上述思路</w:t>
      </w:r>
      <w:r w:rsidRPr="00F948AC">
        <w:rPr>
          <w:rFonts w:ascii="Times New Roman" w:hAnsi="Times New Roman" w:cs="Times New Roman"/>
          <w:color w:val="000000" w:themeColor="text1"/>
        </w:rPr>
        <w:t>1-4</w:t>
      </w:r>
      <w:r w:rsidRPr="00F948AC">
        <w:rPr>
          <w:rFonts w:ascii="Times New Roman" w:hAnsi="Times New Roman" w:cs="Times New Roman"/>
          <w:color w:val="000000" w:themeColor="text1"/>
        </w:rPr>
        <w:t>条中，我们均谨慎选取了考虑</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不考虑现金红利的日个股回报率进行计算，两种计算方式下，得到的股票池</w:t>
      </w:r>
      <w:r w:rsidRPr="00F948AC">
        <w:rPr>
          <w:rFonts w:ascii="Times New Roman" w:hAnsi="Times New Roman" w:cs="Times New Roman"/>
          <w:color w:val="000000" w:themeColor="text1"/>
        </w:rPr>
        <w:t>pool</w:t>
      </w:r>
      <w:r w:rsidRPr="00F948AC">
        <w:rPr>
          <w:rFonts w:ascii="Times New Roman" w:hAnsi="Times New Roman" w:cs="Times New Roman"/>
          <w:color w:val="000000" w:themeColor="text1"/>
        </w:rPr>
        <w:t>完全一致。】</w:t>
      </w:r>
    </w:p>
    <w:p w:rsidR="001D0B3C"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5</w:t>
      </w:r>
      <w:r w:rsidRPr="00F948AC">
        <w:rPr>
          <w:rFonts w:ascii="Times New Roman" w:hAnsi="Times New Roman" w:cs="Times New Roman"/>
          <w:color w:val="000000" w:themeColor="text1"/>
        </w:rPr>
        <w:t>．</w:t>
      </w:r>
      <w:r w:rsidR="001D0B3C" w:rsidRPr="00F948AC">
        <w:rPr>
          <w:rFonts w:ascii="Times New Roman" w:hAnsi="Times New Roman" w:cs="Times New Roman"/>
          <w:color w:val="000000" w:themeColor="text1"/>
        </w:rPr>
        <w:t>在优矿（一个支持</w:t>
      </w:r>
      <w:r w:rsidR="001D0B3C" w:rsidRPr="00F948AC">
        <w:rPr>
          <w:rFonts w:ascii="Times New Roman" w:hAnsi="Times New Roman" w:cs="Times New Roman"/>
          <w:color w:val="000000" w:themeColor="text1"/>
        </w:rPr>
        <w:t>Python</w:t>
      </w:r>
      <w:r w:rsidR="001D0B3C" w:rsidRPr="00F948AC">
        <w:rPr>
          <w:rFonts w:ascii="Times New Roman" w:hAnsi="Times New Roman" w:cs="Times New Roman"/>
          <w:color w:val="000000" w:themeColor="text1"/>
        </w:rPr>
        <w:t>语言的量化平台）导入股票池</w:t>
      </w:r>
      <w:r w:rsidR="001D0B3C" w:rsidRPr="00F948AC">
        <w:rPr>
          <w:rFonts w:ascii="Times New Roman" w:hAnsi="Times New Roman" w:cs="Times New Roman"/>
          <w:color w:val="000000" w:themeColor="text1"/>
        </w:rPr>
        <w:t>pool</w:t>
      </w:r>
      <w:r w:rsidR="001D0B3C" w:rsidRPr="00F948AC">
        <w:rPr>
          <w:rFonts w:ascii="Times New Roman" w:hAnsi="Times New Roman" w:cs="Times New Roman"/>
          <w:color w:val="000000" w:themeColor="text1"/>
        </w:rPr>
        <w:t>，进行</w:t>
      </w:r>
      <w:r w:rsidR="001D0B3C" w:rsidRPr="00F948AC">
        <w:rPr>
          <w:rFonts w:ascii="Times New Roman" w:hAnsi="Times New Roman" w:cs="Times New Roman"/>
          <w:color w:val="000000" w:themeColor="text1"/>
        </w:rPr>
        <w:t>3</w:t>
      </w:r>
      <w:r w:rsidR="001D0B3C" w:rsidRPr="00F948AC">
        <w:rPr>
          <w:rFonts w:ascii="Times New Roman" w:hAnsi="Times New Roman" w:cs="Times New Roman"/>
          <w:color w:val="000000" w:themeColor="text1"/>
        </w:rPr>
        <w:t>月的策略回测</w:t>
      </w:r>
      <w:r w:rsidR="002F6469" w:rsidRPr="00F948AC">
        <w:rPr>
          <w:rFonts w:ascii="Times New Roman" w:hAnsi="Times New Roman" w:cs="Times New Roman"/>
          <w:color w:val="000000" w:themeColor="text1"/>
        </w:rPr>
        <w:t>，在牛市或大盘走高时（累计收益率高于沪深</w:t>
      </w:r>
      <w:r w:rsidR="002F6469" w:rsidRPr="00F948AC">
        <w:rPr>
          <w:rFonts w:ascii="Times New Roman" w:hAnsi="Times New Roman" w:cs="Times New Roman"/>
          <w:color w:val="000000" w:themeColor="text1"/>
        </w:rPr>
        <w:t>300</w:t>
      </w:r>
      <w:r w:rsidR="002F6469" w:rsidRPr="00F948AC">
        <w:rPr>
          <w:rFonts w:ascii="Times New Roman" w:hAnsi="Times New Roman" w:cs="Times New Roman"/>
          <w:color w:val="000000" w:themeColor="text1"/>
        </w:rPr>
        <w:t>），选择动态调整交易策略下的投资组合；</w:t>
      </w:r>
    </w:p>
    <w:p w:rsidR="00CE0EAB" w:rsidRPr="00F948AC" w:rsidRDefault="002F6469"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6</w:t>
      </w:r>
      <w:r w:rsidRPr="00F948AC">
        <w:rPr>
          <w:rFonts w:ascii="Times New Roman" w:hAnsi="Times New Roman" w:cs="Times New Roman"/>
          <w:color w:val="000000" w:themeColor="text1"/>
        </w:rPr>
        <w:t>．</w:t>
      </w:r>
      <w:r w:rsidR="00CE0EAB" w:rsidRPr="00F948AC">
        <w:rPr>
          <w:rFonts w:ascii="Times New Roman" w:hAnsi="Times New Roman" w:cs="Times New Roman"/>
          <w:color w:val="000000" w:themeColor="text1"/>
        </w:rPr>
        <w:t>从股票池</w:t>
      </w:r>
      <w:r w:rsidR="001D0B3C" w:rsidRPr="00F948AC">
        <w:rPr>
          <w:rFonts w:ascii="Times New Roman" w:hAnsi="Times New Roman" w:cs="Times New Roman"/>
          <w:color w:val="000000" w:themeColor="text1"/>
        </w:rPr>
        <w:t>pool</w:t>
      </w:r>
      <w:r w:rsidR="00CE0EAB" w:rsidRPr="00F948AC">
        <w:rPr>
          <w:rFonts w:ascii="Times New Roman" w:hAnsi="Times New Roman" w:cs="Times New Roman"/>
          <w:color w:val="000000" w:themeColor="text1"/>
        </w:rPr>
        <w:t>中选取</w:t>
      </w:r>
      <w:r w:rsidR="009A172A" w:rsidRPr="00F948AC">
        <w:rPr>
          <w:rFonts w:ascii="Times New Roman" w:hAnsi="Times New Roman" w:cs="Times New Roman"/>
          <w:color w:val="000000" w:themeColor="text1"/>
        </w:rPr>
        <w:t>交易数据完整且在</w:t>
      </w:r>
      <w:r w:rsidR="009A172A" w:rsidRPr="00F948AC">
        <w:rPr>
          <w:rFonts w:ascii="Times New Roman" w:hAnsi="Times New Roman" w:cs="Times New Roman"/>
          <w:color w:val="000000" w:themeColor="text1"/>
        </w:rPr>
        <w:t>2</w:t>
      </w:r>
      <w:r w:rsidR="009A172A" w:rsidRPr="00F948AC">
        <w:rPr>
          <w:rFonts w:ascii="Times New Roman" w:hAnsi="Times New Roman" w:cs="Times New Roman"/>
          <w:color w:val="000000" w:themeColor="text1"/>
        </w:rPr>
        <w:t>月上证综指月回报率为负（</w:t>
      </w:r>
      <w:r w:rsidR="009A172A" w:rsidRPr="00F948AC">
        <w:rPr>
          <w:rFonts w:ascii="Times New Roman" w:hAnsi="Times New Roman" w:cs="Times New Roman"/>
          <w:color w:val="000000" w:themeColor="text1"/>
        </w:rPr>
        <w:t>-0.063653</w:t>
      </w:r>
      <w:r w:rsidR="009A172A" w:rsidRPr="00F948AC">
        <w:rPr>
          <w:rFonts w:ascii="Times New Roman" w:hAnsi="Times New Roman" w:cs="Times New Roman"/>
          <w:color w:val="000000" w:themeColor="text1"/>
        </w:rPr>
        <w:t>）时仍有正数日回报率的</w:t>
      </w:r>
      <w:r w:rsidR="00CE0EAB" w:rsidRPr="00F948AC">
        <w:rPr>
          <w:rFonts w:ascii="Times New Roman" w:hAnsi="Times New Roman" w:cs="Times New Roman"/>
          <w:color w:val="000000" w:themeColor="text1"/>
        </w:rPr>
        <w:t>股</w:t>
      </w:r>
      <w:r w:rsidR="009A172A" w:rsidRPr="00F948AC">
        <w:rPr>
          <w:rFonts w:ascii="Times New Roman" w:hAnsi="Times New Roman" w:cs="Times New Roman"/>
          <w:color w:val="000000" w:themeColor="text1"/>
        </w:rPr>
        <w:t>票（</w:t>
      </w:r>
      <w:r w:rsidR="009A172A" w:rsidRPr="00F948AC">
        <w:rPr>
          <w:rFonts w:ascii="Times New Roman" w:hAnsi="Times New Roman" w:cs="Times New Roman"/>
          <w:color w:val="000000" w:themeColor="text1"/>
        </w:rPr>
        <w:t>3</w:t>
      </w:r>
      <w:r w:rsidR="009A172A" w:rsidRPr="00F948AC">
        <w:rPr>
          <w:rFonts w:ascii="Times New Roman" w:hAnsi="Times New Roman" w:cs="Times New Roman"/>
          <w:color w:val="000000" w:themeColor="text1"/>
        </w:rPr>
        <w:t>只</w:t>
      </w:r>
      <w:r w:rsidRPr="00F948AC">
        <w:rPr>
          <w:rFonts w:ascii="Times New Roman" w:hAnsi="Times New Roman" w:cs="Times New Roman"/>
          <w:color w:val="000000" w:themeColor="text1"/>
        </w:rPr>
        <w:t>，股票代码分别为</w:t>
      </w:r>
      <w:r w:rsidRPr="00F948AC">
        <w:rPr>
          <w:rFonts w:ascii="Times New Roman" w:hAnsi="Times New Roman" w:cs="Times New Roman"/>
          <w:color w:val="000000" w:themeColor="text1"/>
        </w:rPr>
        <w:t>601600</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603988</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603088</w:t>
      </w:r>
      <w:r w:rsidR="009A172A" w:rsidRPr="00F948AC">
        <w:rPr>
          <w:rFonts w:ascii="Times New Roman" w:hAnsi="Times New Roman" w:cs="Times New Roman"/>
          <w:color w:val="000000" w:themeColor="text1"/>
        </w:rPr>
        <w:t>）</w:t>
      </w:r>
      <w:r w:rsidR="00CE0EAB" w:rsidRPr="00F948AC">
        <w:rPr>
          <w:rFonts w:ascii="Times New Roman" w:hAnsi="Times New Roman" w:cs="Times New Roman"/>
          <w:color w:val="000000" w:themeColor="text1"/>
        </w:rPr>
        <w:t>作为一个投资组合</w:t>
      </w:r>
      <w:r w:rsidR="00E0021D" w:rsidRPr="00F948AC">
        <w:rPr>
          <w:rFonts w:ascii="Times New Roman" w:hAnsi="Times New Roman" w:cs="Times New Roman"/>
          <w:color w:val="000000" w:themeColor="text1"/>
        </w:rPr>
        <w:t>p</w:t>
      </w:r>
      <w:r w:rsidR="009A172A" w:rsidRPr="00F948AC">
        <w:rPr>
          <w:rFonts w:ascii="Times New Roman" w:hAnsi="Times New Roman" w:cs="Times New Roman"/>
          <w:color w:val="000000" w:themeColor="text1"/>
        </w:rPr>
        <w:t>ortfolio</w:t>
      </w:r>
      <w:r w:rsidRPr="00F948AC">
        <w:rPr>
          <w:rFonts w:ascii="Times New Roman" w:hAnsi="Times New Roman" w:cs="Times New Roman"/>
          <w:color w:val="000000" w:themeColor="text1"/>
        </w:rPr>
        <w:t>；</w:t>
      </w:r>
    </w:p>
    <w:p w:rsidR="00CE0EAB"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6</w:t>
      </w:r>
      <w:r w:rsidRPr="00F948AC">
        <w:rPr>
          <w:rFonts w:ascii="Times New Roman" w:hAnsi="Times New Roman" w:cs="Times New Roman"/>
          <w:color w:val="000000" w:themeColor="text1"/>
        </w:rPr>
        <w:t>．根据</w:t>
      </w:r>
      <w:r w:rsidRPr="00F948AC">
        <w:rPr>
          <w:rFonts w:ascii="Times New Roman" w:hAnsi="Times New Roman" w:cs="Times New Roman"/>
          <w:color w:val="000000" w:themeColor="text1"/>
        </w:rPr>
        <w:t>MVO</w:t>
      </w:r>
      <w:r w:rsidRPr="00F948AC">
        <w:rPr>
          <w:rFonts w:ascii="Times New Roman" w:hAnsi="Times New Roman" w:cs="Times New Roman"/>
          <w:color w:val="000000" w:themeColor="text1"/>
        </w:rPr>
        <w:t>模型，投资组合</w:t>
      </w:r>
      <w:r w:rsidR="00E0021D" w:rsidRPr="00F948AC">
        <w:rPr>
          <w:rFonts w:ascii="Times New Roman" w:hAnsi="Times New Roman" w:cs="Times New Roman"/>
          <w:color w:val="000000" w:themeColor="text1"/>
        </w:rPr>
        <w:t>p</w:t>
      </w:r>
      <w:r w:rsidR="009A172A" w:rsidRPr="00F948AC">
        <w:rPr>
          <w:rFonts w:ascii="Times New Roman" w:hAnsi="Times New Roman" w:cs="Times New Roman"/>
          <w:color w:val="000000" w:themeColor="text1"/>
        </w:rPr>
        <w:t>ortfolio</w:t>
      </w:r>
      <w:r w:rsidRPr="00F948AC">
        <w:rPr>
          <w:rFonts w:ascii="Times New Roman" w:hAnsi="Times New Roman" w:cs="Times New Roman"/>
          <w:color w:val="000000" w:themeColor="text1"/>
        </w:rPr>
        <w:t>可</w:t>
      </w:r>
      <w:r w:rsidR="002F6469" w:rsidRPr="00F948AC">
        <w:rPr>
          <w:rFonts w:ascii="Times New Roman" w:hAnsi="Times New Roman" w:cs="Times New Roman"/>
          <w:color w:val="000000" w:themeColor="text1"/>
        </w:rPr>
        <w:t>在</w:t>
      </w:r>
      <w:r w:rsidRPr="00F948AC">
        <w:rPr>
          <w:rFonts w:ascii="Times New Roman" w:hAnsi="Times New Roman" w:cs="Times New Roman"/>
          <w:color w:val="000000" w:themeColor="text1"/>
        </w:rPr>
        <w:t>均值</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方差最优化条件</w:t>
      </w:r>
      <w:r w:rsidR="002F6469" w:rsidRPr="00F948AC">
        <w:rPr>
          <w:rFonts w:ascii="Times New Roman" w:hAnsi="Times New Roman" w:cs="Times New Roman"/>
          <w:color w:val="000000" w:themeColor="text1"/>
        </w:rPr>
        <w:t>下</w:t>
      </w:r>
      <w:r w:rsidRPr="00F948AC">
        <w:rPr>
          <w:rFonts w:ascii="Times New Roman" w:hAnsi="Times New Roman" w:cs="Times New Roman"/>
          <w:color w:val="000000" w:themeColor="text1"/>
        </w:rPr>
        <w:t>得到一条有效前沿</w:t>
      </w:r>
      <w:r w:rsidR="002F6469" w:rsidRPr="00F948AC">
        <w:rPr>
          <w:rFonts w:ascii="Times New Roman" w:hAnsi="Times New Roman" w:cs="Times New Roman"/>
          <w:color w:val="000000" w:themeColor="text1"/>
        </w:rPr>
        <w:t>（设定组合的期望收益率即为无风险利率</w:t>
      </w:r>
      <w:r w:rsidR="002F6469" w:rsidRPr="00F948AC">
        <w:rPr>
          <w:rFonts w:ascii="Times New Roman" w:hAnsi="Times New Roman" w:cs="Times New Roman"/>
          <w:color w:val="000000" w:themeColor="text1"/>
        </w:rPr>
        <w:t>0.0041</w:t>
      </w:r>
      <w:r w:rsidR="002F6469"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，对</w:t>
      </w:r>
      <w:r w:rsidR="009A172A" w:rsidRPr="00F948AC">
        <w:rPr>
          <w:rFonts w:ascii="Times New Roman" w:hAnsi="Times New Roman" w:cs="Times New Roman"/>
          <w:color w:val="000000" w:themeColor="text1"/>
        </w:rPr>
        <w:t>这</w:t>
      </w:r>
      <w:r w:rsidRPr="00F948AC">
        <w:rPr>
          <w:rFonts w:ascii="Times New Roman" w:hAnsi="Times New Roman" w:cs="Times New Roman"/>
          <w:color w:val="000000" w:themeColor="text1"/>
        </w:rPr>
        <w:t>条有效前沿</w:t>
      </w:r>
      <w:proofErr w:type="gramStart"/>
      <w:r w:rsidRPr="00F948AC">
        <w:rPr>
          <w:rFonts w:ascii="Times New Roman" w:hAnsi="Times New Roman" w:cs="Times New Roman"/>
          <w:color w:val="000000" w:themeColor="text1"/>
        </w:rPr>
        <w:t>作出</w:t>
      </w:r>
      <w:proofErr w:type="gramEnd"/>
      <w:r w:rsidR="009A172A" w:rsidRPr="00F948AC">
        <w:rPr>
          <w:rFonts w:ascii="Times New Roman" w:hAnsi="Times New Roman" w:cs="Times New Roman"/>
          <w:color w:val="000000" w:themeColor="text1"/>
        </w:rPr>
        <w:t>的切线</w:t>
      </w:r>
      <w:r w:rsidRPr="00F948AC">
        <w:rPr>
          <w:rFonts w:ascii="Times New Roman" w:hAnsi="Times New Roman" w:cs="Times New Roman"/>
          <w:color w:val="000000" w:themeColor="text1"/>
        </w:rPr>
        <w:t>CAL</w:t>
      </w:r>
      <w:r w:rsidR="009A172A" w:rsidRPr="00F948AC">
        <w:rPr>
          <w:rFonts w:ascii="Times New Roman" w:hAnsi="Times New Roman" w:cs="Times New Roman"/>
          <w:color w:val="000000" w:themeColor="text1"/>
        </w:rPr>
        <w:t>将确定一个切点</w:t>
      </w:r>
      <w:r w:rsidRPr="00F948AC">
        <w:rPr>
          <w:rFonts w:ascii="Times New Roman" w:hAnsi="Times New Roman" w:cs="Times New Roman"/>
          <w:color w:val="000000" w:themeColor="text1"/>
        </w:rPr>
        <w:t>T</w:t>
      </w:r>
      <w:r w:rsidR="002F6469" w:rsidRPr="00F948AC">
        <w:rPr>
          <w:rFonts w:ascii="Times New Roman" w:hAnsi="Times New Roman" w:cs="Times New Roman"/>
          <w:color w:val="000000" w:themeColor="text1"/>
        </w:rPr>
        <w:t>；</w:t>
      </w:r>
    </w:p>
    <w:p w:rsidR="002F6469" w:rsidRPr="00F948AC" w:rsidRDefault="00CE0EAB"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7</w:t>
      </w:r>
      <w:r w:rsidRPr="00F948AC">
        <w:rPr>
          <w:rFonts w:ascii="Times New Roman" w:hAnsi="Times New Roman" w:cs="Times New Roman"/>
          <w:color w:val="000000" w:themeColor="text1"/>
        </w:rPr>
        <w:t>．由</w:t>
      </w:r>
      <w:r w:rsidRPr="00F948AC">
        <w:rPr>
          <w:rFonts w:ascii="Times New Roman" w:hAnsi="Times New Roman" w:cs="Times New Roman"/>
          <w:color w:val="000000" w:themeColor="text1"/>
        </w:rPr>
        <w:t>T</w:t>
      </w:r>
      <w:r w:rsidR="002F6469" w:rsidRPr="00F948AC">
        <w:rPr>
          <w:rFonts w:ascii="Times New Roman" w:hAnsi="Times New Roman" w:cs="Times New Roman"/>
          <w:color w:val="000000" w:themeColor="text1"/>
        </w:rPr>
        <w:t>点</w:t>
      </w:r>
      <w:r w:rsidRPr="00F948AC">
        <w:rPr>
          <w:rFonts w:ascii="Times New Roman" w:hAnsi="Times New Roman" w:cs="Times New Roman"/>
          <w:color w:val="000000" w:themeColor="text1"/>
        </w:rPr>
        <w:t>可</w:t>
      </w:r>
      <w:r w:rsidR="002F6469" w:rsidRPr="00F948AC">
        <w:rPr>
          <w:rFonts w:ascii="Times New Roman" w:hAnsi="Times New Roman" w:cs="Times New Roman"/>
          <w:color w:val="000000" w:themeColor="text1"/>
        </w:rPr>
        <w:t>得</w:t>
      </w:r>
      <w:r w:rsidRPr="00F948AC">
        <w:rPr>
          <w:rFonts w:ascii="Times New Roman" w:hAnsi="Times New Roman" w:cs="Times New Roman"/>
          <w:color w:val="000000" w:themeColor="text1"/>
        </w:rPr>
        <w:t>投资组合</w:t>
      </w:r>
      <w:r w:rsidR="002F6469" w:rsidRPr="00F948AC">
        <w:rPr>
          <w:rFonts w:ascii="Times New Roman" w:hAnsi="Times New Roman" w:cs="Times New Roman"/>
          <w:color w:val="000000" w:themeColor="text1"/>
        </w:rPr>
        <w:t>Portfolio</w:t>
      </w:r>
      <w:r w:rsidRPr="00F948AC">
        <w:rPr>
          <w:rFonts w:ascii="Times New Roman" w:hAnsi="Times New Roman" w:cs="Times New Roman"/>
          <w:color w:val="000000" w:themeColor="text1"/>
        </w:rPr>
        <w:t>的最优权重分配</w:t>
      </w:r>
      <w:r w:rsidRPr="00F948AC">
        <w:rPr>
          <w:rFonts w:ascii="Times New Roman" w:hAnsi="Times New Roman" w:cs="Times New Roman"/>
          <w:color w:val="000000" w:themeColor="text1"/>
        </w:rPr>
        <w:t>w</w:t>
      </w:r>
      <w:r w:rsidR="002F6469" w:rsidRPr="00F948AC">
        <w:rPr>
          <w:rFonts w:ascii="Times New Roman" w:hAnsi="Times New Roman" w:cs="Times New Roman"/>
          <w:color w:val="000000" w:themeColor="text1"/>
        </w:rPr>
        <w:t>1</w:t>
      </w:r>
      <w:r w:rsidR="002F6469" w:rsidRPr="00F948AC">
        <w:rPr>
          <w:rFonts w:ascii="Times New Roman" w:hAnsi="Times New Roman" w:cs="Times New Roman"/>
          <w:color w:val="000000" w:themeColor="text1"/>
        </w:rPr>
        <w:t>，</w:t>
      </w:r>
      <w:r w:rsidR="002F6469" w:rsidRPr="00F948AC">
        <w:rPr>
          <w:rFonts w:ascii="Times New Roman" w:hAnsi="Times New Roman" w:cs="Times New Roman"/>
          <w:color w:val="000000" w:themeColor="text1"/>
        </w:rPr>
        <w:t>w2</w:t>
      </w:r>
      <w:r w:rsidR="002F6469"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w</w:t>
      </w:r>
      <w:r w:rsidR="002F6469"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w:t>
      </w:r>
      <w:r w:rsidR="002F6469" w:rsidRPr="00F948AC">
        <w:rPr>
          <w:rFonts w:ascii="Times New Roman" w:hAnsi="Times New Roman" w:cs="Times New Roman"/>
          <w:color w:val="000000" w:themeColor="text1"/>
        </w:rPr>
        <w:t>在此</w:t>
      </w:r>
      <w:r w:rsidRPr="00F948AC">
        <w:rPr>
          <w:rFonts w:ascii="Times New Roman" w:hAnsi="Times New Roman" w:cs="Times New Roman"/>
          <w:color w:val="000000" w:themeColor="text1"/>
        </w:rPr>
        <w:t>权重</w:t>
      </w:r>
      <w:r w:rsidR="002F6469" w:rsidRPr="00F948AC">
        <w:rPr>
          <w:rFonts w:ascii="Times New Roman" w:hAnsi="Times New Roman" w:cs="Times New Roman"/>
          <w:color w:val="000000" w:themeColor="text1"/>
        </w:rPr>
        <w:t>下</w:t>
      </w:r>
      <w:r w:rsidRPr="00F948AC">
        <w:rPr>
          <w:rFonts w:ascii="Times New Roman" w:hAnsi="Times New Roman" w:cs="Times New Roman"/>
          <w:color w:val="000000" w:themeColor="text1"/>
        </w:rPr>
        <w:t>投资组合</w:t>
      </w:r>
      <w:r w:rsidR="00E0021D" w:rsidRPr="00F948AC">
        <w:rPr>
          <w:rFonts w:ascii="Times New Roman" w:hAnsi="Times New Roman" w:cs="Times New Roman"/>
          <w:color w:val="000000" w:themeColor="text1"/>
        </w:rPr>
        <w:t>p</w:t>
      </w:r>
      <w:r w:rsidR="002F6469" w:rsidRPr="00F948AC">
        <w:rPr>
          <w:rFonts w:ascii="Times New Roman" w:hAnsi="Times New Roman" w:cs="Times New Roman"/>
          <w:color w:val="000000" w:themeColor="text1"/>
        </w:rPr>
        <w:t>ortfolio</w:t>
      </w:r>
      <w:r w:rsidR="002F6469" w:rsidRPr="00F948AC">
        <w:rPr>
          <w:rFonts w:ascii="Times New Roman" w:hAnsi="Times New Roman" w:cs="Times New Roman"/>
          <w:color w:val="000000" w:themeColor="text1"/>
        </w:rPr>
        <w:t>可以取得无风险回报，尤其是在</w:t>
      </w:r>
      <w:r w:rsidRPr="00F948AC">
        <w:rPr>
          <w:rFonts w:ascii="Times New Roman" w:hAnsi="Times New Roman" w:cs="Times New Roman"/>
          <w:color w:val="000000" w:themeColor="text1"/>
        </w:rPr>
        <w:t>熊市或大盘走低时</w:t>
      </w:r>
      <w:r w:rsidR="002F6469" w:rsidRPr="00F948AC">
        <w:rPr>
          <w:rFonts w:ascii="Times New Roman" w:hAnsi="Times New Roman" w:cs="Times New Roman"/>
          <w:color w:val="000000" w:themeColor="text1"/>
        </w:rPr>
        <w:t>（累计收益率低于沪深</w:t>
      </w:r>
      <w:r w:rsidR="002F6469" w:rsidRPr="00F948AC">
        <w:rPr>
          <w:rFonts w:ascii="Times New Roman" w:hAnsi="Times New Roman" w:cs="Times New Roman"/>
          <w:color w:val="000000" w:themeColor="text1"/>
        </w:rPr>
        <w:t>300</w:t>
      </w:r>
      <w:r w:rsidR="002F6469" w:rsidRPr="00F948AC">
        <w:rPr>
          <w:rFonts w:ascii="Times New Roman" w:hAnsi="Times New Roman" w:cs="Times New Roman"/>
          <w:color w:val="000000" w:themeColor="text1"/>
        </w:rPr>
        <w:t>）。</w:t>
      </w:r>
    </w:p>
    <w:p w:rsidR="00CE0EAB" w:rsidRPr="00F948AC" w:rsidRDefault="00CE0EAB" w:rsidP="00F709B5">
      <w:pPr>
        <w:pStyle w:val="2"/>
        <w:spacing w:before="0" w:after="0" w:line="360" w:lineRule="auto"/>
        <w:rPr>
          <w:rFonts w:ascii="Times New Roman" w:hAnsi="Times New Roman" w:cs="Times New Roman"/>
          <w:color w:val="000000" w:themeColor="text1"/>
        </w:rPr>
      </w:pPr>
      <w:bookmarkStart w:id="14" w:name="_Toc512116428"/>
      <w:r w:rsidRPr="00F948AC">
        <w:rPr>
          <w:rFonts w:ascii="Times New Roman" w:hAnsi="Times New Roman" w:cs="Times New Roman"/>
          <w:color w:val="000000" w:themeColor="text1"/>
        </w:rPr>
        <w:t>（三）操作步骤</w:t>
      </w:r>
      <w:bookmarkEnd w:id="14"/>
    </w:p>
    <w:p w:rsidR="00CE0EAB" w:rsidRPr="00415C05" w:rsidRDefault="00CE0EAB"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1</w:t>
      </w:r>
      <w:r w:rsidRPr="00415C05">
        <w:rPr>
          <w:rFonts w:ascii="Times New Roman" w:hAnsi="Times New Roman" w:cs="Times New Roman"/>
          <w:b/>
          <w:color w:val="000000" w:themeColor="text1"/>
        </w:rPr>
        <w:t>．准备工作</w:t>
      </w:r>
    </w:p>
    <w:p w:rsidR="00E0021D" w:rsidRPr="00F948AC" w:rsidRDefault="00E0021D"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）将附件中</w:t>
      </w:r>
      <w:r w:rsidRPr="00F948AC">
        <w:rPr>
          <w:rFonts w:ascii="Times New Roman" w:hAnsi="Times New Roman" w:cs="Times New Roman"/>
          <w:color w:val="000000" w:themeColor="text1"/>
        </w:rPr>
        <w:t>“01.csv”</w:t>
      </w:r>
      <w:r w:rsidRPr="00F948AC">
        <w:rPr>
          <w:rFonts w:ascii="Times New Roman" w:hAnsi="Times New Roman" w:cs="Times New Roman"/>
          <w:color w:val="000000" w:themeColor="text1"/>
        </w:rPr>
        <w:t>文件、</w:t>
      </w:r>
      <w:r w:rsidRPr="00F948AC">
        <w:rPr>
          <w:rFonts w:ascii="Times New Roman" w:hAnsi="Times New Roman" w:cs="Times New Roman"/>
          <w:color w:val="000000" w:themeColor="text1"/>
        </w:rPr>
        <w:t>“index.csv”</w:t>
      </w:r>
      <w:r w:rsidRPr="00F948AC">
        <w:rPr>
          <w:rFonts w:ascii="Times New Roman" w:hAnsi="Times New Roman" w:cs="Times New Roman"/>
          <w:color w:val="000000" w:themeColor="text1"/>
        </w:rPr>
        <w:t>文件和</w:t>
      </w:r>
      <w:r w:rsidRPr="00F948AC">
        <w:rPr>
          <w:rFonts w:ascii="Times New Roman" w:hAnsi="Times New Roman" w:cs="Times New Roman"/>
          <w:color w:val="000000" w:themeColor="text1"/>
        </w:rPr>
        <w:t>“portfolio.csv”</w:t>
      </w:r>
      <w:r w:rsidRPr="00F948AC">
        <w:rPr>
          <w:rFonts w:ascii="Times New Roman" w:hAnsi="Times New Roman" w:cs="Times New Roman"/>
          <w:color w:val="000000" w:themeColor="text1"/>
        </w:rPr>
        <w:t>文件存放于</w:t>
      </w:r>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盘下的</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聂聪金工小组操作</w:t>
      </w:r>
      <w:r w:rsidRPr="00F948AC">
        <w:rPr>
          <w:rFonts w:ascii="Times New Roman" w:hAnsi="Times New Roman" w:cs="Times New Roman"/>
          <w:color w:val="000000" w:themeColor="text1"/>
        </w:rPr>
        <w:t>data</w:t>
      </w:r>
      <w:r w:rsidRPr="00F948AC">
        <w:rPr>
          <w:rFonts w:ascii="Times New Roman" w:hAnsi="Times New Roman" w:cs="Times New Roman"/>
          <w:color w:val="000000" w:themeColor="text1"/>
        </w:rPr>
        <w:t>集</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文件夹</w:t>
      </w:r>
      <w:r w:rsidR="00A938C6" w:rsidRPr="00F948AC">
        <w:rPr>
          <w:rFonts w:ascii="Times New Roman" w:hAnsi="Times New Roman" w:cs="Times New Roman"/>
          <w:color w:val="000000" w:themeColor="text1"/>
        </w:rPr>
        <w:t>；</w:t>
      </w:r>
    </w:p>
    <w:p w:rsidR="00E0021D" w:rsidRPr="00F948AC" w:rsidRDefault="00E0021D"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）每次运行程序前，</w:t>
      </w:r>
      <w:proofErr w:type="gramStart"/>
      <w:r w:rsidRPr="00F948AC">
        <w:rPr>
          <w:rFonts w:ascii="Times New Roman" w:hAnsi="Times New Roman" w:cs="Times New Roman"/>
          <w:color w:val="000000" w:themeColor="text1"/>
        </w:rPr>
        <w:t>请确</w:t>
      </w:r>
      <w:r w:rsidR="00A938C6" w:rsidRPr="00F948AC">
        <w:rPr>
          <w:rFonts w:ascii="Times New Roman" w:hAnsi="Times New Roman" w:cs="Times New Roman"/>
          <w:color w:val="000000" w:themeColor="text1"/>
        </w:rPr>
        <w:t>保</w:t>
      </w:r>
      <w:proofErr w:type="gramEnd"/>
      <w:r w:rsidRPr="00F948AC">
        <w:rPr>
          <w:rFonts w:ascii="Times New Roman" w:hAnsi="Times New Roman" w:cs="Times New Roman"/>
          <w:color w:val="000000" w:themeColor="text1"/>
        </w:rPr>
        <w:t>D</w:t>
      </w:r>
      <w:r w:rsidRPr="00F948AC">
        <w:rPr>
          <w:rFonts w:ascii="Times New Roman" w:hAnsi="Times New Roman" w:cs="Times New Roman"/>
          <w:color w:val="000000" w:themeColor="text1"/>
        </w:rPr>
        <w:t>盘中不包含同名文件夹</w:t>
      </w:r>
      <w:r w:rsidR="00A938C6" w:rsidRPr="00F948AC">
        <w:rPr>
          <w:rFonts w:ascii="Times New Roman" w:hAnsi="Times New Roman" w:cs="Times New Roman"/>
          <w:color w:val="000000" w:themeColor="text1"/>
        </w:rPr>
        <w:t>。</w:t>
      </w:r>
    </w:p>
    <w:p w:rsidR="00CE0EAB" w:rsidRPr="00415C05" w:rsidRDefault="00CE0EAB"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2</w:t>
      </w:r>
      <w:r w:rsidRPr="00415C05">
        <w:rPr>
          <w:rFonts w:ascii="Times New Roman" w:hAnsi="Times New Roman" w:cs="Times New Roman"/>
          <w:b/>
          <w:color w:val="000000" w:themeColor="text1"/>
        </w:rPr>
        <w:t>．代码运行</w:t>
      </w:r>
    </w:p>
    <w:p w:rsidR="00A938C6" w:rsidRPr="00F948AC" w:rsidRDefault="00A938C6"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在</w:t>
      </w:r>
      <w:proofErr w:type="spellStart"/>
      <w:r w:rsidRPr="00F948AC">
        <w:rPr>
          <w:rFonts w:ascii="Times New Roman" w:hAnsi="Times New Roman" w:cs="Times New Roman"/>
          <w:color w:val="000000" w:themeColor="text1"/>
        </w:rPr>
        <w:t>RStudio</w:t>
      </w:r>
      <w:proofErr w:type="spellEnd"/>
      <w:r w:rsidRPr="00F948AC">
        <w:rPr>
          <w:rFonts w:ascii="Times New Roman" w:hAnsi="Times New Roman" w:cs="Times New Roman"/>
          <w:color w:val="000000" w:themeColor="text1"/>
        </w:rPr>
        <w:t>中运行附件</w:t>
      </w:r>
      <w:r w:rsidRPr="00F948AC">
        <w:rPr>
          <w:rFonts w:ascii="Times New Roman" w:hAnsi="Times New Roman" w:cs="Times New Roman"/>
          <w:color w:val="000000" w:themeColor="text1"/>
        </w:rPr>
        <w:t>“</w:t>
      </w:r>
      <w:proofErr w:type="spellStart"/>
      <w:r w:rsidRPr="00F948AC">
        <w:rPr>
          <w:rFonts w:ascii="Times New Roman" w:hAnsi="Times New Roman" w:cs="Times New Roman"/>
          <w:color w:val="000000" w:themeColor="text1"/>
        </w:rPr>
        <w:t>Portfolio.R</w:t>
      </w:r>
      <w:proofErr w:type="spellEnd"/>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w:t>
      </w:r>
    </w:p>
    <w:p w:rsidR="00CE0EAB" w:rsidRPr="00415C05" w:rsidRDefault="00CE0EAB" w:rsidP="00F709B5">
      <w:pPr>
        <w:spacing w:line="360" w:lineRule="auto"/>
        <w:rPr>
          <w:rFonts w:ascii="Times New Roman" w:hAnsi="Times New Roman" w:cs="Times New Roman"/>
          <w:b/>
          <w:color w:val="000000" w:themeColor="text1"/>
        </w:rPr>
      </w:pPr>
      <w:r w:rsidRPr="00415C05">
        <w:rPr>
          <w:rFonts w:ascii="Times New Roman" w:hAnsi="Times New Roman" w:cs="Times New Roman"/>
          <w:b/>
          <w:color w:val="000000" w:themeColor="text1"/>
        </w:rPr>
        <w:t>3</w:t>
      </w:r>
      <w:r w:rsidRPr="00415C05">
        <w:rPr>
          <w:rFonts w:ascii="Times New Roman" w:hAnsi="Times New Roman" w:cs="Times New Roman"/>
          <w:b/>
          <w:color w:val="000000" w:themeColor="text1"/>
        </w:rPr>
        <w:t>．操作结果</w:t>
      </w:r>
    </w:p>
    <w:p w:rsidR="00A938C6" w:rsidRPr="00F948AC" w:rsidRDefault="00B14191"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基于实际与必要收益率（由</w:t>
      </w:r>
      <w:r w:rsidRPr="00F948AC">
        <w:rPr>
          <w:rFonts w:ascii="Times New Roman" w:hAnsi="Times New Roman" w:cs="Times New Roman"/>
          <w:color w:val="000000" w:themeColor="text1"/>
        </w:rPr>
        <w:t>CAPM</w:t>
      </w:r>
      <w:r w:rsidRPr="00F948AC">
        <w:rPr>
          <w:rFonts w:ascii="Times New Roman" w:hAnsi="Times New Roman" w:cs="Times New Roman"/>
          <w:color w:val="000000" w:themeColor="text1"/>
        </w:rPr>
        <w:t>模型提供</w:t>
      </w:r>
      <w:r w:rsidRPr="00F948AC">
        <w:rPr>
          <w:rFonts w:ascii="Times New Roman" w:hAnsi="Times New Roman" w:cs="Times New Roman"/>
          <w:color w:val="000000" w:themeColor="text1"/>
        </w:rPr>
        <w:t>β</w:t>
      </w:r>
      <w:r w:rsidRPr="00F948AC">
        <w:rPr>
          <w:rFonts w:ascii="Times New Roman" w:hAnsi="Times New Roman" w:cs="Times New Roman"/>
          <w:color w:val="000000" w:themeColor="text1"/>
        </w:rPr>
        <w:t>值计算）的差别，筛选出存在被低估可能的股票池</w:t>
      </w:r>
      <w:r w:rsidRPr="00F948AC">
        <w:rPr>
          <w:rFonts w:ascii="Times New Roman" w:hAnsi="Times New Roman" w:cs="Times New Roman"/>
          <w:color w:val="000000" w:themeColor="text1"/>
        </w:rPr>
        <w:t>pool</w:t>
      </w:r>
      <w:r w:rsidRPr="00F948AC">
        <w:rPr>
          <w:rFonts w:ascii="Times New Roman" w:hAnsi="Times New Roman" w:cs="Times New Roman"/>
          <w:color w:val="000000" w:themeColor="text1"/>
        </w:rPr>
        <w:t>；</w:t>
      </w:r>
      <w:r w:rsidR="00A938C6" w:rsidRPr="00F948AC">
        <w:rPr>
          <w:rFonts w:ascii="Times New Roman" w:hAnsi="Times New Roman" w:cs="Times New Roman"/>
          <w:color w:val="000000" w:themeColor="text1"/>
        </w:rPr>
        <w:t>在马科维茨的均值</w:t>
      </w:r>
      <w:r w:rsidR="00A938C6" w:rsidRPr="00F948AC">
        <w:rPr>
          <w:rFonts w:ascii="Times New Roman" w:hAnsi="Times New Roman" w:cs="Times New Roman"/>
          <w:color w:val="000000" w:themeColor="text1"/>
        </w:rPr>
        <w:t>-</w:t>
      </w:r>
      <w:r w:rsidR="00A938C6" w:rsidRPr="00F948AC">
        <w:rPr>
          <w:rFonts w:ascii="Times New Roman" w:hAnsi="Times New Roman" w:cs="Times New Roman"/>
          <w:color w:val="000000" w:themeColor="text1"/>
        </w:rPr>
        <w:t>方差模型下（</w:t>
      </w:r>
      <w:r w:rsidR="00A938C6" w:rsidRPr="00F948AC">
        <w:rPr>
          <w:rFonts w:ascii="Times New Roman" w:hAnsi="Times New Roman" w:cs="Times New Roman"/>
          <w:color w:val="000000" w:themeColor="text1"/>
        </w:rPr>
        <w:t>R</w:t>
      </w:r>
      <w:r w:rsidR="00A938C6" w:rsidRPr="00F948AC">
        <w:rPr>
          <w:rFonts w:ascii="Times New Roman" w:hAnsi="Times New Roman" w:cs="Times New Roman"/>
          <w:color w:val="000000" w:themeColor="text1"/>
        </w:rPr>
        <w:t>中通过</w:t>
      </w:r>
      <w:r w:rsidR="00A938C6" w:rsidRPr="00F948AC">
        <w:rPr>
          <w:rFonts w:ascii="Times New Roman" w:hAnsi="Times New Roman" w:cs="Times New Roman"/>
          <w:color w:val="000000" w:themeColor="text1"/>
        </w:rPr>
        <w:t>“</w:t>
      </w:r>
      <w:proofErr w:type="spellStart"/>
      <w:r w:rsidR="00A938C6" w:rsidRPr="00F948AC">
        <w:rPr>
          <w:rFonts w:ascii="Times New Roman" w:hAnsi="Times New Roman" w:cs="Times New Roman"/>
          <w:color w:val="000000" w:themeColor="text1"/>
        </w:rPr>
        <w:t>fPortfolio</w:t>
      </w:r>
      <w:proofErr w:type="spellEnd"/>
      <w:r w:rsidR="00A938C6" w:rsidRPr="00F948AC">
        <w:rPr>
          <w:rFonts w:ascii="Times New Roman" w:hAnsi="Times New Roman" w:cs="Times New Roman"/>
          <w:color w:val="000000" w:themeColor="text1"/>
        </w:rPr>
        <w:t>”</w:t>
      </w:r>
      <w:r w:rsidR="00A938C6" w:rsidRPr="00F948AC">
        <w:rPr>
          <w:rFonts w:ascii="Times New Roman" w:hAnsi="Times New Roman" w:cs="Times New Roman"/>
          <w:color w:val="000000" w:themeColor="text1"/>
        </w:rPr>
        <w:t>包</w:t>
      </w:r>
      <w:r w:rsidRPr="00F948AC">
        <w:rPr>
          <w:rFonts w:ascii="Times New Roman" w:hAnsi="Times New Roman" w:cs="Times New Roman"/>
          <w:color w:val="000000" w:themeColor="text1"/>
        </w:rPr>
        <w:t>和相关约束条件</w:t>
      </w:r>
      <w:r w:rsidR="00A938C6" w:rsidRPr="00F948AC">
        <w:rPr>
          <w:rFonts w:ascii="Times New Roman" w:hAnsi="Times New Roman" w:cs="Times New Roman"/>
          <w:color w:val="000000" w:themeColor="text1"/>
        </w:rPr>
        <w:t>实现）</w:t>
      </w:r>
      <w:r w:rsidRPr="00F948AC">
        <w:rPr>
          <w:rFonts w:ascii="Times New Roman" w:hAnsi="Times New Roman" w:cs="Times New Roman"/>
          <w:color w:val="000000" w:themeColor="text1"/>
        </w:rPr>
        <w:t>，</w:t>
      </w:r>
      <w:r w:rsidR="00A938C6" w:rsidRPr="00F948AC">
        <w:rPr>
          <w:rFonts w:ascii="Times New Roman" w:hAnsi="Times New Roman" w:cs="Times New Roman"/>
          <w:color w:val="000000" w:themeColor="text1"/>
        </w:rPr>
        <w:t>得到投资组合</w:t>
      </w:r>
      <w:r w:rsidR="00A938C6" w:rsidRPr="00F948AC">
        <w:rPr>
          <w:rFonts w:ascii="Times New Roman" w:hAnsi="Times New Roman" w:cs="Times New Roman"/>
          <w:color w:val="000000" w:themeColor="text1"/>
        </w:rPr>
        <w:t>port</w:t>
      </w:r>
      <w:r w:rsidRPr="00F948AC">
        <w:rPr>
          <w:rFonts w:ascii="Times New Roman" w:hAnsi="Times New Roman" w:cs="Times New Roman"/>
          <w:color w:val="000000" w:themeColor="text1"/>
        </w:rPr>
        <w:t>folio</w:t>
      </w:r>
      <w:r w:rsidRPr="00F948AC">
        <w:rPr>
          <w:rFonts w:ascii="Times New Roman" w:hAnsi="Times New Roman" w:cs="Times New Roman"/>
          <w:color w:val="000000" w:themeColor="text1"/>
        </w:rPr>
        <w:t>的最优权重。</w:t>
      </w:r>
    </w:p>
    <w:p w:rsidR="00CE0EAB" w:rsidRPr="00F948AC" w:rsidRDefault="00CE0EAB" w:rsidP="00F709B5">
      <w:pPr>
        <w:pStyle w:val="2"/>
        <w:spacing w:before="0" w:after="0" w:line="360" w:lineRule="auto"/>
        <w:rPr>
          <w:rFonts w:ascii="Times New Roman" w:hAnsi="Times New Roman" w:cs="Times New Roman"/>
          <w:color w:val="000000" w:themeColor="text1"/>
        </w:rPr>
      </w:pPr>
      <w:bookmarkStart w:id="15" w:name="_Toc512116429"/>
      <w:r w:rsidRPr="00F948AC">
        <w:rPr>
          <w:rFonts w:ascii="Times New Roman" w:hAnsi="Times New Roman" w:cs="Times New Roman"/>
          <w:color w:val="000000" w:themeColor="text1"/>
        </w:rPr>
        <w:t>（四）结果展示</w:t>
      </w:r>
      <w:bookmarkEnd w:id="15"/>
    </w:p>
    <w:p w:rsidR="00870FAF" w:rsidRPr="00F948AC" w:rsidRDefault="00870FAF" w:rsidP="00F709B5">
      <w:pPr>
        <w:spacing w:line="360" w:lineRule="auto"/>
        <w:ind w:firstLineChars="200" w:firstLine="420"/>
        <w:rPr>
          <w:rFonts w:ascii="Times New Roman" w:hAnsi="Times New Roman" w:cs="Times New Roman"/>
        </w:rPr>
      </w:pPr>
      <w:r w:rsidRPr="00F948AC">
        <w:rPr>
          <w:rFonts w:ascii="Times New Roman" w:hAnsi="Times New Roman" w:cs="Times New Roman"/>
        </w:rPr>
        <w:t>表</w:t>
      </w:r>
      <w:r w:rsidRPr="00F948AC">
        <w:rPr>
          <w:rFonts w:ascii="Times New Roman" w:hAnsi="Times New Roman" w:cs="Times New Roman"/>
        </w:rPr>
        <w:t>4-1</w:t>
      </w:r>
      <w:r w:rsidRPr="00F948AC">
        <w:rPr>
          <w:rFonts w:ascii="Times New Roman" w:hAnsi="Times New Roman" w:cs="Times New Roman"/>
        </w:rPr>
        <w:t>展示</w:t>
      </w:r>
      <w:r w:rsidR="00BB06D3" w:rsidRPr="00F948AC">
        <w:rPr>
          <w:rFonts w:ascii="Times New Roman" w:hAnsi="Times New Roman" w:cs="Times New Roman"/>
        </w:rPr>
        <w:t>的是选取的被低估的股票池</w:t>
      </w:r>
      <w:r w:rsidR="00BB06D3" w:rsidRPr="00F948AC">
        <w:rPr>
          <w:rFonts w:ascii="Times New Roman" w:hAnsi="Times New Roman" w:cs="Times New Roman"/>
        </w:rPr>
        <w:t>pool</w:t>
      </w:r>
      <w:r w:rsidR="00BB06D3" w:rsidRPr="00F948AC">
        <w:rPr>
          <w:rFonts w:ascii="Times New Roman" w:hAnsi="Times New Roman" w:cs="Times New Roman"/>
        </w:rPr>
        <w:t>，其中代码分别为</w:t>
      </w:r>
      <w:r w:rsidR="00BB06D3" w:rsidRPr="00F948AC">
        <w:rPr>
          <w:rFonts w:ascii="Times New Roman" w:hAnsi="Times New Roman" w:cs="Times New Roman"/>
        </w:rPr>
        <w:t>601600</w:t>
      </w:r>
      <w:r w:rsidR="00BB06D3" w:rsidRPr="00F948AC">
        <w:rPr>
          <w:rFonts w:ascii="Times New Roman" w:hAnsi="Times New Roman" w:cs="Times New Roman"/>
        </w:rPr>
        <w:t>，</w:t>
      </w:r>
      <w:r w:rsidR="00BB06D3" w:rsidRPr="00F948AC">
        <w:rPr>
          <w:rFonts w:ascii="Times New Roman" w:hAnsi="Times New Roman" w:cs="Times New Roman"/>
        </w:rPr>
        <w:t>603988</w:t>
      </w:r>
      <w:r w:rsidR="00BB06D3" w:rsidRPr="00F948AC">
        <w:rPr>
          <w:rFonts w:ascii="Times New Roman" w:hAnsi="Times New Roman" w:cs="Times New Roman"/>
        </w:rPr>
        <w:t>，</w:t>
      </w:r>
      <w:r w:rsidR="00BB06D3" w:rsidRPr="00F948AC">
        <w:rPr>
          <w:rFonts w:ascii="Times New Roman" w:hAnsi="Times New Roman" w:cs="Times New Roman"/>
        </w:rPr>
        <w:t>603088</w:t>
      </w:r>
      <w:r w:rsidR="00BB06D3" w:rsidRPr="00F948AC">
        <w:rPr>
          <w:rFonts w:ascii="Times New Roman" w:hAnsi="Times New Roman" w:cs="Times New Roman"/>
        </w:rPr>
        <w:t>的三只股票在</w:t>
      </w:r>
      <w:r w:rsidR="00BB06D3" w:rsidRPr="00F948AC">
        <w:rPr>
          <w:rFonts w:ascii="Times New Roman" w:hAnsi="Times New Roman" w:cs="Times New Roman"/>
        </w:rPr>
        <w:t>3</w:t>
      </w:r>
      <w:r w:rsidR="00BB06D3" w:rsidRPr="00F948AC">
        <w:rPr>
          <w:rFonts w:ascii="Times New Roman" w:hAnsi="Times New Roman" w:cs="Times New Roman"/>
        </w:rPr>
        <w:t>月的交易数据对应完整且均有正回报率表现，故将其筛选出作为投资组合</w:t>
      </w:r>
      <w:r w:rsidR="00BB06D3" w:rsidRPr="00F948AC">
        <w:rPr>
          <w:rFonts w:ascii="Times New Roman" w:hAnsi="Times New Roman" w:cs="Times New Roman"/>
        </w:rPr>
        <w:t>portfolio</w:t>
      </w:r>
      <w:r w:rsidR="00BB06D3" w:rsidRPr="00F948AC">
        <w:rPr>
          <w:rFonts w:ascii="Times New Roman" w:hAnsi="Times New Roman" w:cs="Times New Roman"/>
        </w:rPr>
        <w:t>。</w:t>
      </w:r>
    </w:p>
    <w:p w:rsidR="00870FAF" w:rsidRPr="00F948AC" w:rsidRDefault="00870FAF" w:rsidP="00F709B5">
      <w:pPr>
        <w:spacing w:line="360" w:lineRule="auto"/>
        <w:jc w:val="center"/>
        <w:rPr>
          <w:rFonts w:ascii="Times New Roman" w:hAnsi="Times New Roman" w:cs="Times New Roman"/>
        </w:rPr>
      </w:pPr>
      <w:r w:rsidRPr="00F948AC">
        <w:rPr>
          <w:rFonts w:ascii="Times New Roman" w:hAnsi="Times New Roman" w:cs="Times New Roman"/>
        </w:rPr>
        <w:t>表</w:t>
      </w:r>
      <w:r w:rsidRPr="00F948AC">
        <w:rPr>
          <w:rFonts w:ascii="Times New Roman" w:hAnsi="Times New Roman" w:cs="Times New Roman"/>
        </w:rPr>
        <w:t xml:space="preserve">4-1  </w:t>
      </w:r>
      <w:proofErr w:type="gramStart"/>
      <w:r w:rsidRPr="00F948AC">
        <w:rPr>
          <w:rFonts w:ascii="Times New Roman" w:hAnsi="Times New Roman" w:cs="Times New Roman"/>
        </w:rPr>
        <w:t>股票池日回报率</w:t>
      </w:r>
      <w:proofErr w:type="gramEnd"/>
      <w:r w:rsidRPr="00F948AC">
        <w:rPr>
          <w:rFonts w:ascii="Times New Roman" w:hAnsi="Times New Roman" w:cs="Times New Roman"/>
        </w:rPr>
        <w:t>（</w:t>
      </w:r>
      <w:r w:rsidRPr="00F948AC">
        <w:rPr>
          <w:rFonts w:ascii="Times New Roman" w:hAnsi="Times New Roman" w:cs="Times New Roman"/>
        </w:rPr>
        <w:t>2-3</w:t>
      </w:r>
      <w:r w:rsidRPr="00F948AC">
        <w:rPr>
          <w:rFonts w:ascii="Times New Roman" w:hAnsi="Times New Roman" w:cs="Times New Roman"/>
        </w:rPr>
        <w:t>月）</w:t>
      </w:r>
    </w:p>
    <w:tbl>
      <w:tblPr>
        <w:tblStyle w:val="21"/>
        <w:tblW w:w="5000" w:type="pct"/>
        <w:tblBorders>
          <w:top w:val="single" w:sz="12" w:space="0" w:color="000000" w:themeColor="text1"/>
          <w:bottom w:val="single" w:sz="12" w:space="0" w:color="000000" w:themeColor="text1"/>
        </w:tblBorders>
        <w:tblLook w:val="04A0" w:firstRow="1" w:lastRow="0" w:firstColumn="1" w:lastColumn="0" w:noHBand="0" w:noVBand="1"/>
      </w:tblPr>
      <w:tblGrid>
        <w:gridCol w:w="666"/>
        <w:gridCol w:w="754"/>
        <w:gridCol w:w="754"/>
        <w:gridCol w:w="754"/>
        <w:gridCol w:w="754"/>
        <w:gridCol w:w="779"/>
        <w:gridCol w:w="779"/>
        <w:gridCol w:w="779"/>
        <w:gridCol w:w="779"/>
        <w:gridCol w:w="754"/>
        <w:gridCol w:w="754"/>
      </w:tblGrid>
      <w:tr w:rsidR="00870FAF" w:rsidRPr="00F948AC" w:rsidTr="00870FAF">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rPr>
                <w:rFonts w:ascii="Times New Roman" w:hAnsi="Times New Roman" w:cs="Times New Roman"/>
                <w:color w:val="000000" w:themeColor="text1"/>
                <w:kern w:val="0"/>
                <w:sz w:val="15"/>
                <w:szCs w:val="21"/>
              </w:rPr>
            </w:pPr>
          </w:p>
        </w:tc>
        <w:tc>
          <w:tcPr>
            <w:tcW w:w="430"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603998</w:t>
            </w:r>
          </w:p>
        </w:tc>
        <w:tc>
          <w:tcPr>
            <w:tcW w:w="430"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600076</w:t>
            </w:r>
          </w:p>
        </w:tc>
        <w:tc>
          <w:tcPr>
            <w:tcW w:w="430"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600856</w:t>
            </w:r>
          </w:p>
        </w:tc>
        <w:tc>
          <w:tcPr>
            <w:tcW w:w="430"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600069</w:t>
            </w:r>
          </w:p>
        </w:tc>
        <w:tc>
          <w:tcPr>
            <w:tcW w:w="462" w:type="pct"/>
            <w:tcBorders>
              <w:top w:val="single" w:sz="12" w:space="0" w:color="000000" w:themeColor="text1"/>
              <w:bottom w:val="single" w:sz="8" w:space="0" w:color="000000" w:themeColor="text1"/>
            </w:tcBorders>
            <w:shd w:val="clear" w:color="auto" w:fill="FBE4D5" w:themeFill="accent2" w:themeFillTint="33"/>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601600</w:t>
            </w:r>
          </w:p>
        </w:tc>
        <w:tc>
          <w:tcPr>
            <w:tcW w:w="462"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600179</w:t>
            </w:r>
          </w:p>
        </w:tc>
        <w:tc>
          <w:tcPr>
            <w:tcW w:w="462" w:type="pct"/>
            <w:tcBorders>
              <w:top w:val="single" w:sz="12" w:space="0" w:color="000000" w:themeColor="text1"/>
              <w:bottom w:val="single" w:sz="8" w:space="0" w:color="000000" w:themeColor="text1"/>
            </w:tcBorders>
            <w:shd w:val="clear" w:color="auto" w:fill="FBE4D5" w:themeFill="accent2" w:themeFillTint="33"/>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603988</w:t>
            </w:r>
          </w:p>
        </w:tc>
        <w:tc>
          <w:tcPr>
            <w:tcW w:w="462" w:type="pct"/>
            <w:tcBorders>
              <w:top w:val="single" w:sz="12" w:space="0" w:color="000000" w:themeColor="text1"/>
              <w:bottom w:val="single" w:sz="8" w:space="0" w:color="000000" w:themeColor="text1"/>
            </w:tcBorders>
            <w:shd w:val="clear" w:color="auto" w:fill="FBE4D5" w:themeFill="accent2" w:themeFillTint="33"/>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603088</w:t>
            </w:r>
          </w:p>
        </w:tc>
        <w:tc>
          <w:tcPr>
            <w:tcW w:w="430"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600682</w:t>
            </w:r>
          </w:p>
        </w:tc>
        <w:tc>
          <w:tcPr>
            <w:tcW w:w="430" w:type="pct"/>
            <w:tcBorders>
              <w:top w:val="single" w:sz="12" w:space="0" w:color="000000" w:themeColor="text1"/>
              <w:bottom w:val="single" w:sz="8" w:space="0" w:color="000000" w:themeColor="text1"/>
            </w:tcBorders>
            <w:noWrap/>
            <w:hideMark/>
          </w:tcPr>
          <w:p w:rsidR="005B6381" w:rsidRPr="00F948AC" w:rsidRDefault="005B6381" w:rsidP="00F709B5">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600290</w:t>
            </w: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02-01</w:t>
            </w:r>
          </w:p>
        </w:tc>
        <w:tc>
          <w:tcPr>
            <w:tcW w:w="430"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-0.04292</w:t>
            </w:r>
          </w:p>
        </w:tc>
        <w:tc>
          <w:tcPr>
            <w:tcW w:w="430"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-0.05556</w:t>
            </w:r>
          </w:p>
        </w:tc>
        <w:tc>
          <w:tcPr>
            <w:tcW w:w="430"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-0.10015</w:t>
            </w:r>
          </w:p>
        </w:tc>
        <w:tc>
          <w:tcPr>
            <w:tcW w:w="430"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-0.09952</w:t>
            </w:r>
          </w:p>
        </w:tc>
        <w:tc>
          <w:tcPr>
            <w:tcW w:w="462"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-0.09988</w:t>
            </w:r>
          </w:p>
        </w:tc>
        <w:tc>
          <w:tcPr>
            <w:tcW w:w="462"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-0.10011</w:t>
            </w:r>
          </w:p>
        </w:tc>
        <w:tc>
          <w:tcPr>
            <w:tcW w:w="462"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w:t>
            </w:r>
          </w:p>
        </w:tc>
        <w:tc>
          <w:tcPr>
            <w:tcW w:w="430"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-0.10005</w:t>
            </w:r>
          </w:p>
        </w:tc>
        <w:tc>
          <w:tcPr>
            <w:tcW w:w="430" w:type="pct"/>
            <w:tcBorders>
              <w:top w:val="single" w:sz="8" w:space="0" w:color="000000" w:themeColor="text1"/>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-0.10015</w:t>
            </w: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02-02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-0.10019</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-0.08895</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-0.05399</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-0.0998</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-0.09992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02-05</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02-26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-0.10012</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02-27</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-0.10028</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02-28</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-0.09924</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03-01</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-0.07627</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-0.02551</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-0.02018</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-0.05952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03-05</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-0.02996</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0.100132</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-0.0061</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0.065637</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0.038922</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0.001151</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03-07</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-0.03623</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0.017291</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-0.0023</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03-08</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-0.00564</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-0.02181</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-0.00422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03-09</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-0.00189</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-0.00463</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0.027767</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03-12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0.015152</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0.015711</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0.036398</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03-13</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-0.01493</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-0.00172</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0.032585</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03-14</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0.020833</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-0.04821</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-0.02349</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03-15</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-0.01113</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-0.05517</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-0.02693</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03-16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-0.01876</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0.001276</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0.01476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03-19</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-0.00956</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0.003824</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-0.01418</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03-20</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-0.01544</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-0.00984</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-0.0166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03-21</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0.001961</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-0.01828</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-0.01275</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03-22</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0.003914</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-0.09979</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-0.00849</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0.00114</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03-23</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-0.03509</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-0.09986</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-0.07773</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-0.04972</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-0.02828</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-0.09979</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0.1</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-0.0024</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03-27</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0.006237</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-0.03007</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0.027597</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0.02442</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03-28</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-0.02686</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-0.03526</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-0.01074</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-0.01485</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1" w:type="pct"/>
            <w:tcBorders>
              <w:top w:val="none" w:sz="0" w:space="0" w:color="auto"/>
              <w:bottom w:val="none" w:sz="0" w:space="0" w:color="auto"/>
            </w:tcBorders>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03-29</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0.019108</w:t>
            </w:r>
          </w:p>
        </w:tc>
        <w:tc>
          <w:tcPr>
            <w:tcW w:w="462"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-0.0126</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0.003833</w:t>
            </w:r>
          </w:p>
        </w:tc>
        <w:tc>
          <w:tcPr>
            <w:tcW w:w="462" w:type="pct"/>
            <w:tcBorders>
              <w:top w:val="none" w:sz="0" w:space="0" w:color="auto"/>
              <w:bottom w:val="none" w:sz="0" w:space="0" w:color="auto"/>
            </w:tcBorders>
            <w:shd w:val="clear" w:color="auto" w:fill="FBE4D5" w:themeFill="accent2" w:themeFillTint="33"/>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0.019833</w:t>
            </w: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tcBorders>
              <w:top w:val="none" w:sz="0" w:space="0" w:color="auto"/>
              <w:bottom w:val="none" w:sz="0" w:space="0" w:color="auto"/>
            </w:tcBorders>
            <w:noWrap/>
            <w:hideMark/>
          </w:tcPr>
          <w:p w:rsidR="005B6381" w:rsidRPr="00F948AC" w:rsidRDefault="005B6381" w:rsidP="00F709B5">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r w:rsidR="00870FAF" w:rsidRPr="00F948AC" w:rsidTr="00870FAF">
        <w:trPr>
          <w:trHeight w:val="310"/>
        </w:trPr>
        <w:tc>
          <w:tcPr>
            <w:cnfStyle w:val="001000000000" w:firstRow="0" w:lastRow="0" w:firstColumn="1" w:lastColumn="0" w:oddVBand="0" w:evenVBand="0" w:oddHBand="0" w:evenHBand="0" w:firstRowFirstColumn="0" w:firstRowLastColumn="0" w:lastRowFirstColumn="0" w:lastRowLastColumn="0"/>
            <w:tcW w:w="571" w:type="pct"/>
            <w:noWrap/>
            <w:hideMark/>
          </w:tcPr>
          <w:p w:rsidR="005B6381" w:rsidRPr="00F948AC" w:rsidRDefault="005B6381" w:rsidP="00F709B5">
            <w:pPr>
              <w:widowControl/>
              <w:spacing w:line="360" w:lineRule="auto"/>
              <w:jc w:val="center"/>
              <w:rPr>
                <w:rFonts w:ascii="Times New Roman" w:hAnsi="Times New Roman" w:cs="Times New Roman"/>
                <w:b w:val="0"/>
                <w:color w:val="000000" w:themeColor="text1"/>
                <w:kern w:val="0"/>
                <w:sz w:val="15"/>
                <w:szCs w:val="21"/>
              </w:rPr>
            </w:pPr>
            <w:r w:rsidRPr="00F948AC">
              <w:rPr>
                <w:rFonts w:ascii="Times New Roman" w:hAnsi="Times New Roman" w:cs="Times New Roman"/>
                <w:b w:val="0"/>
                <w:color w:val="000000" w:themeColor="text1"/>
                <w:kern w:val="0"/>
                <w:sz w:val="15"/>
                <w:szCs w:val="21"/>
              </w:rPr>
              <w:t>03-30</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-0.01458</w:t>
            </w:r>
          </w:p>
        </w:tc>
        <w:tc>
          <w:tcPr>
            <w:tcW w:w="462"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0.043395</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0.020045</w:t>
            </w:r>
          </w:p>
        </w:tc>
        <w:tc>
          <w:tcPr>
            <w:tcW w:w="462" w:type="pct"/>
            <w:shd w:val="clear" w:color="auto" w:fill="FBE4D5" w:themeFill="accent2" w:themeFillTint="33"/>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r w:rsidRPr="00F948AC">
              <w:rPr>
                <w:rFonts w:ascii="Times New Roman" w:hAnsi="Times New Roman" w:cs="Times New Roman"/>
                <w:color w:val="000000" w:themeColor="text1"/>
                <w:kern w:val="0"/>
                <w:sz w:val="15"/>
                <w:szCs w:val="21"/>
              </w:rPr>
              <w:t>-0.00506</w:t>
            </w: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sz w:val="15"/>
                <w:szCs w:val="21"/>
              </w:rPr>
            </w:pPr>
          </w:p>
        </w:tc>
        <w:tc>
          <w:tcPr>
            <w:tcW w:w="430" w:type="pct"/>
            <w:noWrap/>
            <w:hideMark/>
          </w:tcPr>
          <w:p w:rsidR="005B6381" w:rsidRPr="00F948AC" w:rsidRDefault="005B6381" w:rsidP="00F709B5">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15"/>
                <w:szCs w:val="21"/>
              </w:rPr>
            </w:pPr>
          </w:p>
        </w:tc>
      </w:tr>
    </w:tbl>
    <w:p w:rsidR="00B14191" w:rsidRPr="00F948AC" w:rsidRDefault="00BB06D3" w:rsidP="00F709B5">
      <w:pPr>
        <w:spacing w:line="360" w:lineRule="auto"/>
        <w:ind w:firstLineChars="200" w:firstLine="420"/>
        <w:rPr>
          <w:rFonts w:ascii="Times New Roman" w:hAnsi="Times New Roman" w:cs="Times New Roman"/>
        </w:rPr>
      </w:pPr>
      <w:r w:rsidRPr="00F948AC">
        <w:rPr>
          <w:rFonts w:ascii="Times New Roman" w:hAnsi="Times New Roman" w:cs="Times New Roman"/>
        </w:rPr>
        <w:lastRenderedPageBreak/>
        <w:t>通过上述过程</w:t>
      </w:r>
      <w:r w:rsidR="005B6381" w:rsidRPr="00F948AC">
        <w:rPr>
          <w:rFonts w:ascii="Times New Roman" w:hAnsi="Times New Roman" w:cs="Times New Roman"/>
        </w:rPr>
        <w:t>选取的</w:t>
      </w:r>
      <w:r w:rsidRPr="00F948AC">
        <w:rPr>
          <w:rFonts w:ascii="Times New Roman" w:hAnsi="Times New Roman" w:cs="Times New Roman"/>
        </w:rPr>
        <w:t>portfolio</w:t>
      </w:r>
      <w:r w:rsidRPr="00F948AC">
        <w:rPr>
          <w:rFonts w:ascii="Times New Roman" w:hAnsi="Times New Roman" w:cs="Times New Roman"/>
        </w:rPr>
        <w:t>在均值</w:t>
      </w:r>
      <w:r w:rsidRPr="00F948AC">
        <w:rPr>
          <w:rFonts w:ascii="Times New Roman" w:hAnsi="Times New Roman" w:cs="Times New Roman"/>
        </w:rPr>
        <w:t>-</w:t>
      </w:r>
      <w:r w:rsidRPr="00F948AC">
        <w:rPr>
          <w:rFonts w:ascii="Times New Roman" w:hAnsi="Times New Roman" w:cs="Times New Roman"/>
        </w:rPr>
        <w:t>方差框架下的最优组合投资权重、风险分配等描述如下表</w:t>
      </w:r>
      <w:r w:rsidRPr="00F948AC">
        <w:rPr>
          <w:rFonts w:ascii="Times New Roman" w:hAnsi="Times New Roman" w:cs="Times New Roman"/>
        </w:rPr>
        <w:t>4-2</w:t>
      </w:r>
      <w:r w:rsidRPr="00F948AC">
        <w:rPr>
          <w:rFonts w:ascii="Times New Roman" w:hAnsi="Times New Roman" w:cs="Times New Roman"/>
        </w:rPr>
        <w:t>、表</w:t>
      </w:r>
      <w:r w:rsidRPr="00F948AC">
        <w:rPr>
          <w:rFonts w:ascii="Times New Roman" w:hAnsi="Times New Roman" w:cs="Times New Roman"/>
        </w:rPr>
        <w:t>4-3</w:t>
      </w:r>
      <w:r w:rsidRPr="00F948AC">
        <w:rPr>
          <w:rFonts w:ascii="Times New Roman" w:hAnsi="Times New Roman" w:cs="Times New Roman"/>
        </w:rPr>
        <w:t>和表</w:t>
      </w:r>
      <w:r w:rsidRPr="00F948AC">
        <w:rPr>
          <w:rFonts w:ascii="Times New Roman" w:hAnsi="Times New Roman" w:cs="Times New Roman"/>
        </w:rPr>
        <w:t>4-4</w:t>
      </w:r>
      <w:r w:rsidRPr="00F948AC">
        <w:rPr>
          <w:rFonts w:ascii="Times New Roman" w:hAnsi="Times New Roman" w:cs="Times New Roman"/>
        </w:rPr>
        <w:t>所示：</w:t>
      </w:r>
    </w:p>
    <w:p w:rsidR="00B14191" w:rsidRPr="00F948AC" w:rsidRDefault="005B6381" w:rsidP="00F709B5">
      <w:pPr>
        <w:spacing w:line="360" w:lineRule="auto"/>
        <w:jc w:val="center"/>
        <w:rPr>
          <w:rFonts w:ascii="Times New Roman" w:hAnsi="Times New Roman" w:cs="Times New Roman"/>
        </w:rPr>
      </w:pPr>
      <w:r w:rsidRPr="00F948AC">
        <w:rPr>
          <w:rFonts w:ascii="Times New Roman" w:hAnsi="Times New Roman" w:cs="Times New Roman"/>
        </w:rPr>
        <w:t>表</w:t>
      </w:r>
      <w:r w:rsidRPr="00F948AC">
        <w:rPr>
          <w:rFonts w:ascii="Times New Roman" w:hAnsi="Times New Roman" w:cs="Times New Roman"/>
        </w:rPr>
        <w:t>4-</w:t>
      </w:r>
      <w:r w:rsidR="00870FAF" w:rsidRPr="00F948AC">
        <w:rPr>
          <w:rFonts w:ascii="Times New Roman" w:hAnsi="Times New Roman" w:cs="Times New Roman"/>
        </w:rPr>
        <w:t>2</w:t>
      </w:r>
      <w:r w:rsidRPr="00F948AC">
        <w:rPr>
          <w:rFonts w:ascii="Times New Roman" w:hAnsi="Times New Roman" w:cs="Times New Roman"/>
        </w:rPr>
        <w:t xml:space="preserve">  </w:t>
      </w:r>
      <w:r w:rsidRPr="00F948AC">
        <w:rPr>
          <w:rFonts w:ascii="Times New Roman" w:hAnsi="Times New Roman" w:cs="Times New Roman"/>
        </w:rPr>
        <w:t>投资组合权重</w:t>
      </w:r>
    </w:p>
    <w:tbl>
      <w:tblPr>
        <w:tblStyle w:val="a3"/>
        <w:tblW w:w="0" w:type="auto"/>
        <w:tblBorders>
          <w:top w:val="single" w:sz="12" w:space="0" w:color="auto"/>
          <w:left w:val="none" w:sz="0" w:space="0" w:color="auto"/>
          <w:bottom w:val="single" w:sz="12" w:space="0" w:color="auto"/>
          <w:right w:val="none" w:sz="0" w:space="0" w:color="auto"/>
          <w:insideH w:val="single" w:sz="8" w:space="0" w:color="auto"/>
          <w:insideV w:val="single" w:sz="12" w:space="0" w:color="auto"/>
        </w:tblBorders>
        <w:tblLook w:val="04A0" w:firstRow="1" w:lastRow="0" w:firstColumn="1" w:lastColumn="0" w:noHBand="0" w:noVBand="1"/>
      </w:tblPr>
      <w:tblGrid>
        <w:gridCol w:w="1921"/>
        <w:gridCol w:w="2128"/>
        <w:gridCol w:w="2128"/>
        <w:gridCol w:w="2129"/>
      </w:tblGrid>
      <w:tr w:rsidR="00B14191" w:rsidRPr="00F948AC" w:rsidTr="00B14191">
        <w:tc>
          <w:tcPr>
            <w:tcW w:w="8306" w:type="dxa"/>
            <w:gridSpan w:val="4"/>
            <w:tcBorders>
              <w:top w:val="single" w:sz="12" w:space="0" w:color="auto"/>
              <w:bottom w:val="single" w:sz="8" w:space="0" w:color="auto"/>
            </w:tcBorders>
          </w:tcPr>
          <w:p w:rsidR="00B14191" w:rsidRPr="00F948AC" w:rsidRDefault="00B14191" w:rsidP="00F709B5">
            <w:pPr>
              <w:spacing w:line="360" w:lineRule="auto"/>
              <w:jc w:val="center"/>
              <w:rPr>
                <w:rFonts w:ascii="Times New Roman" w:hAnsi="Times New Roman" w:cs="Times New Roman"/>
                <w:b/>
                <w:sz w:val="24"/>
              </w:rPr>
            </w:pPr>
            <w:r w:rsidRPr="00F948AC">
              <w:rPr>
                <w:rFonts w:ascii="Times New Roman" w:hAnsi="Times New Roman" w:cs="Times New Roman"/>
                <w:b/>
                <w:sz w:val="24"/>
              </w:rPr>
              <w:t>Portfolio Weights</w:t>
            </w:r>
          </w:p>
        </w:tc>
      </w:tr>
      <w:tr w:rsidR="00B14191" w:rsidRPr="00F948AC" w:rsidTr="00B14191">
        <w:tc>
          <w:tcPr>
            <w:tcW w:w="1921" w:type="dxa"/>
            <w:tcBorders>
              <w:top w:val="single" w:sz="8" w:space="0" w:color="auto"/>
              <w:bottom w:val="nil"/>
              <w:right w:val="nil"/>
            </w:tcBorders>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股票代码</w:t>
            </w:r>
          </w:p>
        </w:tc>
        <w:tc>
          <w:tcPr>
            <w:tcW w:w="2128" w:type="dxa"/>
            <w:tcBorders>
              <w:top w:val="single" w:sz="8" w:space="0" w:color="auto"/>
              <w:left w:val="nil"/>
              <w:bottom w:val="nil"/>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601600</w:t>
            </w:r>
          </w:p>
        </w:tc>
        <w:tc>
          <w:tcPr>
            <w:tcW w:w="2128" w:type="dxa"/>
            <w:tcBorders>
              <w:top w:val="single" w:sz="8" w:space="0" w:color="auto"/>
              <w:left w:val="nil"/>
              <w:bottom w:val="nil"/>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603988</w:t>
            </w:r>
          </w:p>
        </w:tc>
        <w:tc>
          <w:tcPr>
            <w:tcW w:w="2129" w:type="dxa"/>
            <w:tcBorders>
              <w:top w:val="single" w:sz="8" w:space="0" w:color="auto"/>
              <w:left w:val="nil"/>
              <w:bottom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603088</w:t>
            </w:r>
          </w:p>
        </w:tc>
      </w:tr>
      <w:tr w:rsidR="00B14191" w:rsidRPr="00F948AC" w:rsidTr="00B14191">
        <w:tc>
          <w:tcPr>
            <w:tcW w:w="1921" w:type="dxa"/>
            <w:tcBorders>
              <w:top w:val="nil"/>
              <w:bottom w:val="single" w:sz="12" w:space="0" w:color="auto"/>
              <w:right w:val="nil"/>
            </w:tcBorders>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组合权重</w:t>
            </w:r>
          </w:p>
        </w:tc>
        <w:tc>
          <w:tcPr>
            <w:tcW w:w="2128" w:type="dxa"/>
            <w:tcBorders>
              <w:top w:val="nil"/>
              <w:left w:val="nil"/>
              <w:bottom w:val="single" w:sz="12" w:space="0" w:color="auto"/>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0.0003</w:t>
            </w:r>
          </w:p>
        </w:tc>
        <w:tc>
          <w:tcPr>
            <w:tcW w:w="2128" w:type="dxa"/>
            <w:tcBorders>
              <w:top w:val="nil"/>
              <w:left w:val="nil"/>
              <w:bottom w:val="single" w:sz="12" w:space="0" w:color="auto"/>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0.6593</w:t>
            </w:r>
          </w:p>
        </w:tc>
        <w:tc>
          <w:tcPr>
            <w:tcW w:w="2129" w:type="dxa"/>
            <w:tcBorders>
              <w:top w:val="nil"/>
              <w:left w:val="nil"/>
              <w:bottom w:val="single" w:sz="12" w:space="0" w:color="auto"/>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0.3404</w:t>
            </w:r>
          </w:p>
        </w:tc>
      </w:tr>
    </w:tbl>
    <w:p w:rsidR="00B14191" w:rsidRPr="00F948AC" w:rsidRDefault="005B6381" w:rsidP="00F709B5">
      <w:pPr>
        <w:spacing w:line="360" w:lineRule="auto"/>
        <w:jc w:val="center"/>
        <w:rPr>
          <w:rFonts w:ascii="Times New Roman" w:hAnsi="Times New Roman" w:cs="Times New Roman"/>
        </w:rPr>
      </w:pPr>
      <w:r w:rsidRPr="00F948AC">
        <w:rPr>
          <w:rFonts w:ascii="Times New Roman" w:hAnsi="Times New Roman" w:cs="Times New Roman"/>
        </w:rPr>
        <w:t>表</w:t>
      </w:r>
      <w:r w:rsidRPr="00F948AC">
        <w:rPr>
          <w:rFonts w:ascii="Times New Roman" w:hAnsi="Times New Roman" w:cs="Times New Roman"/>
        </w:rPr>
        <w:t>4-</w:t>
      </w:r>
      <w:r w:rsidR="00870FAF" w:rsidRPr="00F948AC">
        <w:rPr>
          <w:rFonts w:ascii="Times New Roman" w:hAnsi="Times New Roman" w:cs="Times New Roman"/>
        </w:rPr>
        <w:t>3</w:t>
      </w:r>
      <w:r w:rsidRPr="00F948AC">
        <w:rPr>
          <w:rFonts w:ascii="Times New Roman" w:hAnsi="Times New Roman" w:cs="Times New Roman"/>
        </w:rPr>
        <w:t xml:space="preserve">  </w:t>
      </w:r>
      <w:r w:rsidRPr="00F948AC">
        <w:rPr>
          <w:rFonts w:ascii="Times New Roman" w:hAnsi="Times New Roman" w:cs="Times New Roman"/>
        </w:rPr>
        <w:t>组合风险权重</w:t>
      </w:r>
    </w:p>
    <w:tbl>
      <w:tblPr>
        <w:tblStyle w:val="a3"/>
        <w:tblW w:w="0" w:type="auto"/>
        <w:tblBorders>
          <w:top w:val="single" w:sz="12" w:space="0" w:color="auto"/>
          <w:left w:val="none" w:sz="0" w:space="0" w:color="auto"/>
          <w:bottom w:val="single" w:sz="12" w:space="0" w:color="auto"/>
          <w:right w:val="none" w:sz="0" w:space="0" w:color="auto"/>
          <w:insideH w:val="single" w:sz="8" w:space="0" w:color="auto"/>
          <w:insideV w:val="single" w:sz="12" w:space="0" w:color="auto"/>
        </w:tblBorders>
        <w:tblLook w:val="04A0" w:firstRow="1" w:lastRow="0" w:firstColumn="1" w:lastColumn="0" w:noHBand="0" w:noVBand="1"/>
      </w:tblPr>
      <w:tblGrid>
        <w:gridCol w:w="1921"/>
        <w:gridCol w:w="2128"/>
        <w:gridCol w:w="2128"/>
        <w:gridCol w:w="2129"/>
      </w:tblGrid>
      <w:tr w:rsidR="00B14191" w:rsidRPr="00F948AC" w:rsidTr="00B14191">
        <w:tc>
          <w:tcPr>
            <w:tcW w:w="8306" w:type="dxa"/>
            <w:gridSpan w:val="4"/>
            <w:tcBorders>
              <w:top w:val="single" w:sz="12" w:space="0" w:color="auto"/>
              <w:bottom w:val="single" w:sz="8" w:space="0" w:color="auto"/>
            </w:tcBorders>
          </w:tcPr>
          <w:p w:rsidR="00B14191" w:rsidRPr="00F948AC" w:rsidRDefault="00B14191" w:rsidP="00F709B5">
            <w:pPr>
              <w:spacing w:line="360" w:lineRule="auto"/>
              <w:jc w:val="center"/>
              <w:rPr>
                <w:rFonts w:ascii="Times New Roman" w:hAnsi="Times New Roman" w:cs="Times New Roman"/>
                <w:b/>
                <w:sz w:val="24"/>
              </w:rPr>
            </w:pPr>
            <w:r w:rsidRPr="00F948AC">
              <w:rPr>
                <w:rFonts w:ascii="Times New Roman" w:hAnsi="Times New Roman" w:cs="Times New Roman"/>
                <w:b/>
                <w:sz w:val="24"/>
              </w:rPr>
              <w:t>Covariance Risk Budgets</w:t>
            </w:r>
          </w:p>
        </w:tc>
      </w:tr>
      <w:tr w:rsidR="00B14191" w:rsidRPr="00F948AC" w:rsidTr="00B14191">
        <w:tc>
          <w:tcPr>
            <w:tcW w:w="1921" w:type="dxa"/>
            <w:tcBorders>
              <w:top w:val="single" w:sz="8" w:space="0" w:color="auto"/>
              <w:bottom w:val="nil"/>
              <w:right w:val="nil"/>
            </w:tcBorders>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股票代码</w:t>
            </w:r>
          </w:p>
        </w:tc>
        <w:tc>
          <w:tcPr>
            <w:tcW w:w="2128" w:type="dxa"/>
            <w:tcBorders>
              <w:top w:val="single" w:sz="8" w:space="0" w:color="auto"/>
              <w:left w:val="nil"/>
              <w:bottom w:val="nil"/>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601600</w:t>
            </w:r>
          </w:p>
        </w:tc>
        <w:tc>
          <w:tcPr>
            <w:tcW w:w="2128" w:type="dxa"/>
            <w:tcBorders>
              <w:top w:val="single" w:sz="8" w:space="0" w:color="auto"/>
              <w:left w:val="nil"/>
              <w:bottom w:val="nil"/>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603988</w:t>
            </w:r>
          </w:p>
        </w:tc>
        <w:tc>
          <w:tcPr>
            <w:tcW w:w="2129" w:type="dxa"/>
            <w:tcBorders>
              <w:top w:val="single" w:sz="8" w:space="0" w:color="auto"/>
              <w:left w:val="nil"/>
              <w:bottom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603088</w:t>
            </w:r>
          </w:p>
        </w:tc>
      </w:tr>
      <w:tr w:rsidR="00B14191" w:rsidRPr="00F948AC" w:rsidTr="00B14191">
        <w:tc>
          <w:tcPr>
            <w:tcW w:w="1921" w:type="dxa"/>
            <w:tcBorders>
              <w:top w:val="nil"/>
              <w:bottom w:val="single" w:sz="12" w:space="0" w:color="auto"/>
              <w:right w:val="nil"/>
            </w:tcBorders>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风险权重</w:t>
            </w:r>
          </w:p>
        </w:tc>
        <w:tc>
          <w:tcPr>
            <w:tcW w:w="2128" w:type="dxa"/>
            <w:tcBorders>
              <w:top w:val="nil"/>
              <w:left w:val="nil"/>
              <w:bottom w:val="single" w:sz="12" w:space="0" w:color="auto"/>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0.0000</w:t>
            </w:r>
          </w:p>
        </w:tc>
        <w:tc>
          <w:tcPr>
            <w:tcW w:w="2128" w:type="dxa"/>
            <w:tcBorders>
              <w:top w:val="nil"/>
              <w:left w:val="nil"/>
              <w:bottom w:val="single" w:sz="12" w:space="0" w:color="auto"/>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0.9135</w:t>
            </w:r>
          </w:p>
        </w:tc>
        <w:tc>
          <w:tcPr>
            <w:tcW w:w="2129" w:type="dxa"/>
            <w:tcBorders>
              <w:top w:val="nil"/>
              <w:left w:val="nil"/>
              <w:bottom w:val="single" w:sz="12" w:space="0" w:color="auto"/>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0.0865</w:t>
            </w:r>
          </w:p>
        </w:tc>
      </w:tr>
    </w:tbl>
    <w:p w:rsidR="00B14191" w:rsidRPr="00F948AC" w:rsidRDefault="005B6381" w:rsidP="00F709B5">
      <w:pPr>
        <w:spacing w:line="360" w:lineRule="auto"/>
        <w:jc w:val="center"/>
        <w:rPr>
          <w:rFonts w:ascii="Times New Roman" w:hAnsi="Times New Roman" w:cs="Times New Roman"/>
        </w:rPr>
      </w:pPr>
      <w:r w:rsidRPr="00F948AC">
        <w:rPr>
          <w:rFonts w:ascii="Times New Roman" w:hAnsi="Times New Roman" w:cs="Times New Roman"/>
        </w:rPr>
        <w:t>表</w:t>
      </w:r>
      <w:r w:rsidRPr="00F948AC">
        <w:rPr>
          <w:rFonts w:ascii="Times New Roman" w:hAnsi="Times New Roman" w:cs="Times New Roman"/>
        </w:rPr>
        <w:t>4-</w:t>
      </w:r>
      <w:r w:rsidR="00870FAF" w:rsidRPr="00F948AC">
        <w:rPr>
          <w:rFonts w:ascii="Times New Roman" w:hAnsi="Times New Roman" w:cs="Times New Roman"/>
        </w:rPr>
        <w:t>4</w:t>
      </w:r>
      <w:r w:rsidRPr="00F948AC">
        <w:rPr>
          <w:rFonts w:ascii="Times New Roman" w:hAnsi="Times New Roman" w:cs="Times New Roman"/>
        </w:rPr>
        <w:t xml:space="preserve">  </w:t>
      </w:r>
      <w:r w:rsidRPr="00F948AC">
        <w:rPr>
          <w:rFonts w:ascii="Times New Roman" w:hAnsi="Times New Roman" w:cs="Times New Roman"/>
        </w:rPr>
        <w:t>目标收益率与风险</w:t>
      </w:r>
    </w:p>
    <w:tbl>
      <w:tblPr>
        <w:tblStyle w:val="a3"/>
        <w:tblW w:w="0" w:type="auto"/>
        <w:tblBorders>
          <w:top w:val="single" w:sz="12" w:space="0" w:color="auto"/>
          <w:left w:val="none" w:sz="0" w:space="0" w:color="auto"/>
          <w:bottom w:val="single" w:sz="12" w:space="0" w:color="auto"/>
          <w:right w:val="none" w:sz="0" w:space="0" w:color="auto"/>
          <w:insideH w:val="single" w:sz="8" w:space="0" w:color="auto"/>
          <w:insideV w:val="single" w:sz="12" w:space="0" w:color="auto"/>
        </w:tblBorders>
        <w:tblLook w:val="04A0" w:firstRow="1" w:lastRow="0" w:firstColumn="1" w:lastColumn="0" w:noHBand="0" w:noVBand="1"/>
      </w:tblPr>
      <w:tblGrid>
        <w:gridCol w:w="1921"/>
        <w:gridCol w:w="2128"/>
        <w:gridCol w:w="2128"/>
        <w:gridCol w:w="2129"/>
      </w:tblGrid>
      <w:tr w:rsidR="00B14191" w:rsidRPr="00F948AC" w:rsidTr="00B14191">
        <w:tc>
          <w:tcPr>
            <w:tcW w:w="8306" w:type="dxa"/>
            <w:gridSpan w:val="4"/>
            <w:tcBorders>
              <w:top w:val="single" w:sz="12" w:space="0" w:color="auto"/>
              <w:bottom w:val="single" w:sz="8" w:space="0" w:color="auto"/>
            </w:tcBorders>
          </w:tcPr>
          <w:p w:rsidR="00B14191" w:rsidRPr="00F948AC" w:rsidRDefault="00B14191" w:rsidP="00F709B5">
            <w:pPr>
              <w:spacing w:line="360" w:lineRule="auto"/>
              <w:jc w:val="center"/>
              <w:rPr>
                <w:rFonts w:ascii="Times New Roman" w:hAnsi="Times New Roman" w:cs="Times New Roman"/>
                <w:b/>
                <w:sz w:val="24"/>
              </w:rPr>
            </w:pPr>
            <w:r w:rsidRPr="00F948AC">
              <w:rPr>
                <w:rFonts w:ascii="Times New Roman" w:hAnsi="Times New Roman" w:cs="Times New Roman"/>
                <w:b/>
                <w:sz w:val="24"/>
              </w:rPr>
              <w:t>Target Returns and Risks</w:t>
            </w:r>
          </w:p>
        </w:tc>
      </w:tr>
      <w:tr w:rsidR="00B14191" w:rsidRPr="00F948AC" w:rsidTr="00B14191">
        <w:tc>
          <w:tcPr>
            <w:tcW w:w="1921" w:type="dxa"/>
            <w:tcBorders>
              <w:top w:val="single" w:sz="8" w:space="0" w:color="auto"/>
              <w:bottom w:val="nil"/>
              <w:right w:val="nil"/>
            </w:tcBorders>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mean</w:t>
            </w:r>
          </w:p>
        </w:tc>
        <w:tc>
          <w:tcPr>
            <w:tcW w:w="2128" w:type="dxa"/>
            <w:tcBorders>
              <w:top w:val="single" w:sz="8" w:space="0" w:color="auto"/>
              <w:left w:val="nil"/>
              <w:bottom w:val="nil"/>
              <w:right w:val="nil"/>
            </w:tcBorders>
            <w:vAlign w:val="center"/>
          </w:tcPr>
          <w:p w:rsidR="00B14191" w:rsidRPr="00F948AC" w:rsidRDefault="00B14191" w:rsidP="00F709B5">
            <w:pPr>
              <w:spacing w:line="360" w:lineRule="auto"/>
              <w:jc w:val="center"/>
              <w:rPr>
                <w:rFonts w:ascii="Times New Roman" w:hAnsi="Times New Roman" w:cs="Times New Roman"/>
              </w:rPr>
            </w:pPr>
            <w:proofErr w:type="spellStart"/>
            <w:r w:rsidRPr="00F948AC">
              <w:rPr>
                <w:rFonts w:ascii="Times New Roman" w:hAnsi="Times New Roman" w:cs="Times New Roman"/>
              </w:rPr>
              <w:t>Cov</w:t>
            </w:r>
            <w:proofErr w:type="spellEnd"/>
          </w:p>
        </w:tc>
        <w:tc>
          <w:tcPr>
            <w:tcW w:w="2128" w:type="dxa"/>
            <w:tcBorders>
              <w:top w:val="single" w:sz="8" w:space="0" w:color="auto"/>
              <w:left w:val="nil"/>
              <w:bottom w:val="nil"/>
              <w:right w:val="nil"/>
            </w:tcBorders>
            <w:vAlign w:val="center"/>
          </w:tcPr>
          <w:p w:rsidR="00B14191" w:rsidRPr="00F948AC" w:rsidRDefault="00B14191" w:rsidP="00F709B5">
            <w:pPr>
              <w:spacing w:line="360" w:lineRule="auto"/>
              <w:jc w:val="center"/>
              <w:rPr>
                <w:rFonts w:ascii="Times New Roman" w:hAnsi="Times New Roman" w:cs="Times New Roman"/>
              </w:rPr>
            </w:pPr>
            <w:proofErr w:type="spellStart"/>
            <w:r w:rsidRPr="00F948AC">
              <w:rPr>
                <w:rFonts w:ascii="Times New Roman" w:hAnsi="Times New Roman" w:cs="Times New Roman"/>
              </w:rPr>
              <w:t>CVaR</w:t>
            </w:r>
            <w:proofErr w:type="spellEnd"/>
          </w:p>
        </w:tc>
        <w:tc>
          <w:tcPr>
            <w:tcW w:w="2129" w:type="dxa"/>
            <w:tcBorders>
              <w:top w:val="single" w:sz="8" w:space="0" w:color="auto"/>
              <w:left w:val="nil"/>
              <w:bottom w:val="nil"/>
            </w:tcBorders>
            <w:vAlign w:val="center"/>
          </w:tcPr>
          <w:p w:rsidR="00B14191" w:rsidRPr="00F948AC" w:rsidRDefault="00B14191" w:rsidP="00F709B5">
            <w:pPr>
              <w:spacing w:line="360" w:lineRule="auto"/>
              <w:jc w:val="center"/>
              <w:rPr>
                <w:rFonts w:ascii="Times New Roman" w:hAnsi="Times New Roman" w:cs="Times New Roman"/>
              </w:rPr>
            </w:pPr>
            <w:proofErr w:type="spellStart"/>
            <w:r w:rsidRPr="00F948AC">
              <w:rPr>
                <w:rFonts w:ascii="Times New Roman" w:hAnsi="Times New Roman" w:cs="Times New Roman"/>
              </w:rPr>
              <w:t>VaR</w:t>
            </w:r>
            <w:proofErr w:type="spellEnd"/>
          </w:p>
        </w:tc>
      </w:tr>
      <w:tr w:rsidR="00B14191" w:rsidRPr="00F948AC" w:rsidTr="00B14191">
        <w:tc>
          <w:tcPr>
            <w:tcW w:w="1921" w:type="dxa"/>
            <w:tcBorders>
              <w:top w:val="nil"/>
              <w:bottom w:val="single" w:sz="12" w:space="0" w:color="auto"/>
              <w:right w:val="nil"/>
            </w:tcBorders>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0.0041</w:t>
            </w:r>
          </w:p>
        </w:tc>
        <w:tc>
          <w:tcPr>
            <w:tcW w:w="2128" w:type="dxa"/>
            <w:tcBorders>
              <w:top w:val="nil"/>
              <w:left w:val="nil"/>
              <w:bottom w:val="single" w:sz="12" w:space="0" w:color="auto"/>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0.0329</w:t>
            </w:r>
          </w:p>
        </w:tc>
        <w:tc>
          <w:tcPr>
            <w:tcW w:w="2128" w:type="dxa"/>
            <w:tcBorders>
              <w:top w:val="nil"/>
              <w:left w:val="nil"/>
              <w:bottom w:val="single" w:sz="12" w:space="0" w:color="auto"/>
              <w:right w:val="nil"/>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0.0671</w:t>
            </w:r>
          </w:p>
        </w:tc>
        <w:tc>
          <w:tcPr>
            <w:tcW w:w="2129" w:type="dxa"/>
            <w:tcBorders>
              <w:top w:val="nil"/>
              <w:left w:val="nil"/>
              <w:bottom w:val="single" w:sz="12" w:space="0" w:color="auto"/>
            </w:tcBorders>
            <w:vAlign w:val="center"/>
          </w:tcPr>
          <w:p w:rsidR="00B14191" w:rsidRPr="00F948AC" w:rsidRDefault="00B14191" w:rsidP="00F709B5">
            <w:pPr>
              <w:spacing w:line="360" w:lineRule="auto"/>
              <w:jc w:val="center"/>
              <w:rPr>
                <w:rFonts w:ascii="Times New Roman" w:hAnsi="Times New Roman" w:cs="Times New Roman"/>
              </w:rPr>
            </w:pPr>
            <w:r w:rsidRPr="00F948AC">
              <w:rPr>
                <w:rFonts w:ascii="Times New Roman" w:hAnsi="Times New Roman" w:cs="Times New Roman"/>
              </w:rPr>
              <w:t>0.0455</w:t>
            </w:r>
          </w:p>
        </w:tc>
      </w:tr>
    </w:tbl>
    <w:p w:rsidR="00FB315E" w:rsidRPr="00F948AC" w:rsidRDefault="00FB315E" w:rsidP="00F709B5">
      <w:pPr>
        <w:spacing w:line="360" w:lineRule="auto"/>
        <w:jc w:val="center"/>
        <w:rPr>
          <w:rFonts w:ascii="Times New Roman" w:hAnsi="Times New Roman" w:cs="Times New Roman"/>
          <w:color w:val="000000" w:themeColor="text1"/>
        </w:rPr>
      </w:pPr>
    </w:p>
    <w:p w:rsidR="0041327F" w:rsidRPr="00F948AC" w:rsidRDefault="006F39B1" w:rsidP="00F709B5">
      <w:pPr>
        <w:pStyle w:val="1"/>
        <w:spacing w:before="0" w:after="0" w:line="360" w:lineRule="auto"/>
        <w:rPr>
          <w:rFonts w:ascii="Times New Roman" w:hAnsi="Times New Roman" w:cs="Times New Roman"/>
          <w:color w:val="000000" w:themeColor="text1"/>
        </w:rPr>
      </w:pPr>
      <w:bookmarkStart w:id="16" w:name="_Toc512116430"/>
      <w:r>
        <w:rPr>
          <w:rFonts w:ascii="Times New Roman" w:hAnsi="Times New Roman" w:cs="Times New Roman" w:hint="eastAsia"/>
          <w:color w:val="000000" w:themeColor="text1"/>
        </w:rPr>
        <w:t>五</w:t>
      </w:r>
      <w:r w:rsidR="0041327F" w:rsidRPr="00F948AC">
        <w:rPr>
          <w:rFonts w:ascii="Times New Roman" w:hAnsi="Times New Roman" w:cs="Times New Roman"/>
          <w:color w:val="000000" w:themeColor="text1"/>
        </w:rPr>
        <w:t>、历史回测</w:t>
      </w:r>
      <w:bookmarkEnd w:id="16"/>
    </w:p>
    <w:p w:rsidR="00CE0EAB" w:rsidRPr="00F948AC" w:rsidRDefault="00CE0EAB" w:rsidP="00F709B5">
      <w:pPr>
        <w:pStyle w:val="2"/>
        <w:spacing w:before="0" w:after="0" w:line="360" w:lineRule="auto"/>
        <w:rPr>
          <w:rFonts w:ascii="Times New Roman" w:hAnsi="Times New Roman" w:cs="Times New Roman"/>
          <w:color w:val="000000" w:themeColor="text1"/>
        </w:rPr>
      </w:pPr>
      <w:bookmarkStart w:id="17" w:name="_Toc512116431"/>
      <w:r w:rsidRPr="00F948AC">
        <w:rPr>
          <w:rFonts w:ascii="Times New Roman" w:hAnsi="Times New Roman" w:cs="Times New Roman"/>
          <w:color w:val="000000" w:themeColor="text1"/>
        </w:rPr>
        <w:t>（一）操作目的</w:t>
      </w:r>
      <w:bookmarkEnd w:id="17"/>
    </w:p>
    <w:p w:rsidR="00CE0EAB" w:rsidRPr="00F948AC" w:rsidRDefault="00CE0EAB" w:rsidP="00F709B5">
      <w:pPr>
        <w:spacing w:line="360" w:lineRule="auto"/>
        <w:ind w:firstLineChars="200" w:firstLine="420"/>
        <w:rPr>
          <w:rFonts w:ascii="Times New Roman" w:hAnsi="Times New Roman" w:cs="Times New Roman"/>
          <w:color w:val="000000" w:themeColor="text1"/>
        </w:rPr>
      </w:pPr>
      <w:r w:rsidRPr="00F948AC">
        <w:rPr>
          <w:rFonts w:ascii="Times New Roman" w:hAnsi="Times New Roman" w:cs="Times New Roman"/>
          <w:color w:val="000000" w:themeColor="text1"/>
        </w:rPr>
        <w:t>待</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月结束后</w:t>
      </w:r>
      <w:r w:rsidR="00BB06D3" w:rsidRPr="00F948AC">
        <w:rPr>
          <w:rFonts w:ascii="Times New Roman" w:hAnsi="Times New Roman" w:cs="Times New Roman"/>
          <w:color w:val="000000" w:themeColor="text1"/>
        </w:rPr>
        <w:t>，将</w:t>
      </w:r>
      <w:r w:rsidR="00BB06D3" w:rsidRPr="00F948AC">
        <w:rPr>
          <w:rFonts w:ascii="Times New Roman" w:hAnsi="Times New Roman" w:cs="Times New Roman"/>
          <w:color w:val="000000" w:themeColor="text1"/>
        </w:rPr>
        <w:t>“</w:t>
      </w:r>
      <w:r w:rsidR="00BB06D3" w:rsidRPr="00F948AC">
        <w:rPr>
          <w:rFonts w:ascii="Times New Roman" w:hAnsi="Times New Roman" w:cs="Times New Roman"/>
          <w:color w:val="000000" w:themeColor="text1"/>
        </w:rPr>
        <w:t>交易策略</w:t>
      </w:r>
      <w:r w:rsidR="00BB06D3" w:rsidRPr="00F948AC">
        <w:rPr>
          <w:rFonts w:ascii="Times New Roman" w:hAnsi="Times New Roman" w:cs="Times New Roman"/>
          <w:color w:val="000000" w:themeColor="text1"/>
        </w:rPr>
        <w:t>”</w:t>
      </w:r>
      <w:r w:rsidR="00BB06D3" w:rsidRPr="00F948AC">
        <w:rPr>
          <w:rFonts w:ascii="Times New Roman" w:hAnsi="Times New Roman" w:cs="Times New Roman"/>
          <w:color w:val="000000" w:themeColor="text1"/>
        </w:rPr>
        <w:t>部分选取的股票池</w:t>
      </w:r>
      <w:r w:rsidR="00BB06D3" w:rsidRPr="00F948AC">
        <w:rPr>
          <w:rFonts w:ascii="Times New Roman" w:hAnsi="Times New Roman" w:cs="Times New Roman"/>
          <w:color w:val="000000" w:themeColor="text1"/>
        </w:rPr>
        <w:t>pool</w:t>
      </w:r>
      <w:r w:rsidR="00BB06D3" w:rsidRPr="00F948AC">
        <w:rPr>
          <w:rFonts w:ascii="Times New Roman" w:hAnsi="Times New Roman" w:cs="Times New Roman"/>
          <w:color w:val="000000" w:themeColor="text1"/>
        </w:rPr>
        <w:t>作为持有的资产组合，</w:t>
      </w:r>
      <w:proofErr w:type="gramStart"/>
      <w:r w:rsidR="005C53B8" w:rsidRPr="00F948AC">
        <w:rPr>
          <w:rFonts w:ascii="Times New Roman" w:hAnsi="Times New Roman" w:cs="Times New Roman"/>
          <w:color w:val="000000" w:themeColor="text1"/>
        </w:rPr>
        <w:t>依托优矿量化</w:t>
      </w:r>
      <w:proofErr w:type="gramEnd"/>
      <w:r w:rsidR="005C53B8" w:rsidRPr="00F948AC">
        <w:rPr>
          <w:rFonts w:ascii="Times New Roman" w:hAnsi="Times New Roman" w:cs="Times New Roman"/>
          <w:color w:val="000000" w:themeColor="text1"/>
        </w:rPr>
        <w:t>平台，运行策略代码进行动态回测</w:t>
      </w:r>
      <w:r w:rsidRPr="00F948AC">
        <w:rPr>
          <w:rFonts w:ascii="Times New Roman" w:hAnsi="Times New Roman" w:cs="Times New Roman"/>
          <w:color w:val="000000" w:themeColor="text1"/>
        </w:rPr>
        <w:t>（</w:t>
      </w:r>
      <w:proofErr w:type="gramStart"/>
      <w:r w:rsidRPr="00F948AC">
        <w:rPr>
          <w:rFonts w:ascii="Times New Roman" w:hAnsi="Times New Roman" w:cs="Times New Roman"/>
          <w:color w:val="000000" w:themeColor="text1"/>
        </w:rPr>
        <w:t>设置回</w:t>
      </w:r>
      <w:proofErr w:type="gramEnd"/>
      <w:r w:rsidRPr="00F948AC">
        <w:rPr>
          <w:rFonts w:ascii="Times New Roman" w:hAnsi="Times New Roman" w:cs="Times New Roman"/>
          <w:color w:val="000000" w:themeColor="text1"/>
        </w:rPr>
        <w:t>测时段为</w:t>
      </w:r>
      <w:r w:rsidRPr="00F948AC">
        <w:rPr>
          <w:rFonts w:ascii="Times New Roman" w:hAnsi="Times New Roman" w:cs="Times New Roman"/>
          <w:color w:val="000000" w:themeColor="text1"/>
        </w:rPr>
        <w:t>01/03/2018-31/03/2018</w:t>
      </w:r>
      <w:r w:rsidRPr="00F948AC">
        <w:rPr>
          <w:rFonts w:ascii="Times New Roman" w:hAnsi="Times New Roman" w:cs="Times New Roman"/>
          <w:color w:val="000000" w:themeColor="text1"/>
        </w:rPr>
        <w:t>），</w:t>
      </w:r>
      <w:r w:rsidR="005C53B8" w:rsidRPr="00F948AC">
        <w:rPr>
          <w:rFonts w:ascii="Times New Roman" w:hAnsi="Times New Roman" w:cs="Times New Roman"/>
          <w:color w:val="000000" w:themeColor="text1"/>
        </w:rPr>
        <w:t>并</w:t>
      </w:r>
      <w:r w:rsidRPr="00F948AC">
        <w:rPr>
          <w:rFonts w:ascii="Times New Roman" w:hAnsi="Times New Roman" w:cs="Times New Roman"/>
          <w:color w:val="000000" w:themeColor="text1"/>
        </w:rPr>
        <w:t>对运行结果加以记录。</w:t>
      </w:r>
    </w:p>
    <w:p w:rsidR="00CE0EAB" w:rsidRPr="00F948AC" w:rsidRDefault="00CE0EAB" w:rsidP="00F709B5">
      <w:pPr>
        <w:pStyle w:val="2"/>
        <w:spacing w:before="0" w:after="0" w:line="360" w:lineRule="auto"/>
        <w:rPr>
          <w:rFonts w:ascii="Times New Roman" w:hAnsi="Times New Roman" w:cs="Times New Roman"/>
          <w:color w:val="000000" w:themeColor="text1"/>
        </w:rPr>
      </w:pPr>
      <w:bookmarkStart w:id="18" w:name="_Toc512116432"/>
      <w:r w:rsidRPr="00F948AC">
        <w:rPr>
          <w:rFonts w:ascii="Times New Roman" w:hAnsi="Times New Roman" w:cs="Times New Roman"/>
          <w:color w:val="000000" w:themeColor="text1"/>
        </w:rPr>
        <w:t>（二）</w:t>
      </w:r>
      <w:r w:rsidR="00B31423" w:rsidRPr="00F948AC">
        <w:rPr>
          <w:rFonts w:ascii="Times New Roman" w:hAnsi="Times New Roman" w:cs="Times New Roman"/>
          <w:color w:val="000000" w:themeColor="text1"/>
        </w:rPr>
        <w:t>操作步骤与策略设计</w:t>
      </w:r>
      <w:bookmarkEnd w:id="18"/>
    </w:p>
    <w:p w:rsidR="00CE0EAB" w:rsidRPr="00F948AC" w:rsidRDefault="005C53B8"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．在优矿（</w:t>
      </w:r>
      <w:r w:rsidRPr="00F948AC">
        <w:rPr>
          <w:rFonts w:ascii="Times New Roman" w:hAnsi="Times New Roman" w:cs="Times New Roman"/>
          <w:color w:val="000000" w:themeColor="text1"/>
        </w:rPr>
        <w:t>https://uqer.io/</w:t>
      </w:r>
      <w:r w:rsidRPr="00F948AC">
        <w:rPr>
          <w:rFonts w:ascii="Times New Roman" w:hAnsi="Times New Roman" w:cs="Times New Roman"/>
          <w:color w:val="000000" w:themeColor="text1"/>
        </w:rPr>
        <w:t>）上注册之后，点击</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开始研究</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页面，新建一个</w:t>
      </w:r>
      <w:r w:rsidRPr="00F948AC">
        <w:rPr>
          <w:rFonts w:ascii="Times New Roman" w:hAnsi="Times New Roman" w:cs="Times New Roman"/>
          <w:color w:val="000000" w:themeColor="text1"/>
        </w:rPr>
        <w:t>Notebook</w:t>
      </w:r>
      <w:r w:rsidRPr="00F948AC">
        <w:rPr>
          <w:rFonts w:ascii="Times New Roman" w:hAnsi="Times New Roman" w:cs="Times New Roman"/>
          <w:color w:val="000000" w:themeColor="text1"/>
        </w:rPr>
        <w:t>，即可用</w:t>
      </w:r>
      <w:r w:rsidRPr="00F948AC">
        <w:rPr>
          <w:rFonts w:ascii="Times New Roman" w:hAnsi="Times New Roman" w:cs="Times New Roman"/>
          <w:color w:val="000000" w:themeColor="text1"/>
        </w:rPr>
        <w:t>Python</w:t>
      </w:r>
      <w:r w:rsidRPr="00F948AC">
        <w:rPr>
          <w:rFonts w:ascii="Times New Roman" w:hAnsi="Times New Roman" w:cs="Times New Roman"/>
          <w:color w:val="000000" w:themeColor="text1"/>
        </w:rPr>
        <w:t>设计交易策略；</w:t>
      </w:r>
    </w:p>
    <w:p w:rsidR="005C53B8" w:rsidRPr="00F948AC" w:rsidRDefault="005C53B8"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Notebook</w:t>
      </w:r>
      <w:r w:rsidRPr="00F948AC">
        <w:rPr>
          <w:rFonts w:ascii="Times New Roman" w:hAnsi="Times New Roman" w:cs="Times New Roman"/>
          <w:color w:val="000000" w:themeColor="text1"/>
        </w:rPr>
        <w:t>的下拉框中选择</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策略</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，自动生成</w:t>
      </w:r>
      <w:proofErr w:type="gramStart"/>
      <w:r w:rsidRPr="00F948AC">
        <w:rPr>
          <w:rFonts w:ascii="Times New Roman" w:hAnsi="Times New Roman" w:cs="Times New Roman"/>
          <w:color w:val="000000" w:themeColor="text1"/>
        </w:rPr>
        <w:t>策略回测的</w:t>
      </w:r>
      <w:proofErr w:type="gramEnd"/>
      <w:r w:rsidRPr="00F948AC">
        <w:rPr>
          <w:rFonts w:ascii="Times New Roman" w:hAnsi="Times New Roman" w:cs="Times New Roman"/>
          <w:color w:val="000000" w:themeColor="text1"/>
        </w:rPr>
        <w:t>基本结构代码；</w:t>
      </w:r>
    </w:p>
    <w:p w:rsidR="00B31423" w:rsidRPr="00F948AC" w:rsidRDefault="005C53B8"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．最开始的一些变量是</w:t>
      </w:r>
      <w:proofErr w:type="gramStart"/>
      <w:r w:rsidRPr="00F948AC">
        <w:rPr>
          <w:rFonts w:ascii="Times New Roman" w:hAnsi="Times New Roman" w:cs="Times New Roman"/>
          <w:color w:val="000000" w:themeColor="text1"/>
        </w:rPr>
        <w:t>对回测的</w:t>
      </w:r>
      <w:proofErr w:type="gramEnd"/>
      <w:r w:rsidRPr="00F948AC">
        <w:rPr>
          <w:rFonts w:ascii="Times New Roman" w:hAnsi="Times New Roman" w:cs="Times New Roman"/>
          <w:color w:val="000000" w:themeColor="text1"/>
        </w:rPr>
        <w:t>基本配置（</w:t>
      </w:r>
      <w:proofErr w:type="gramStart"/>
      <w:r w:rsidRPr="00F948AC">
        <w:rPr>
          <w:rFonts w:ascii="Times New Roman" w:hAnsi="Times New Roman" w:cs="Times New Roman"/>
          <w:color w:val="000000" w:themeColor="text1"/>
        </w:rPr>
        <w:t>包括回测的</w:t>
      </w:r>
      <w:proofErr w:type="gramEnd"/>
      <w:r w:rsidRPr="00F948AC">
        <w:rPr>
          <w:rFonts w:ascii="Times New Roman" w:hAnsi="Times New Roman" w:cs="Times New Roman"/>
          <w:color w:val="000000" w:themeColor="text1"/>
        </w:rPr>
        <w:t>时间，股票池，资金，交易频率等），此处回测时</w:t>
      </w:r>
      <w:proofErr w:type="gramStart"/>
      <w:r w:rsidRPr="00F948AC">
        <w:rPr>
          <w:rFonts w:ascii="Times New Roman" w:hAnsi="Times New Roman" w:cs="Times New Roman"/>
          <w:color w:val="000000" w:themeColor="text1"/>
        </w:rPr>
        <w:t>段设</w:t>
      </w:r>
      <w:proofErr w:type="gramEnd"/>
      <w:r w:rsidRPr="00F948AC">
        <w:rPr>
          <w:rFonts w:ascii="Times New Roman" w:hAnsi="Times New Roman" w:cs="Times New Roman"/>
          <w:color w:val="000000" w:themeColor="text1"/>
        </w:rPr>
        <w:t>置为</w:t>
      </w:r>
      <w:r w:rsidRPr="00F948AC">
        <w:rPr>
          <w:rFonts w:ascii="Times New Roman" w:hAnsi="Times New Roman" w:cs="Times New Roman"/>
          <w:color w:val="000000" w:themeColor="text1"/>
        </w:rPr>
        <w:t>2018</w:t>
      </w:r>
      <w:r w:rsidRPr="00F948AC">
        <w:rPr>
          <w:rFonts w:ascii="Times New Roman" w:hAnsi="Times New Roman" w:cs="Times New Roman"/>
          <w:color w:val="000000" w:themeColor="text1"/>
        </w:rPr>
        <w:t>年</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w:t>
      </w:r>
      <w:r w:rsidRPr="00F948AC">
        <w:rPr>
          <w:rFonts w:ascii="Times New Roman" w:hAnsi="Times New Roman" w:cs="Times New Roman"/>
          <w:color w:val="000000" w:themeColor="text1"/>
        </w:rPr>
        <w:t>1</w:t>
      </w:r>
      <w:r w:rsidRPr="00F948AC">
        <w:rPr>
          <w:rFonts w:ascii="Times New Roman" w:hAnsi="Times New Roman" w:cs="Times New Roman"/>
          <w:color w:val="000000" w:themeColor="text1"/>
        </w:rPr>
        <w:t>日至</w:t>
      </w:r>
      <w:r w:rsidRPr="00F948AC">
        <w:rPr>
          <w:rFonts w:ascii="Times New Roman" w:hAnsi="Times New Roman" w:cs="Times New Roman"/>
          <w:color w:val="000000" w:themeColor="text1"/>
        </w:rPr>
        <w:t>3</w:t>
      </w:r>
      <w:r w:rsidRPr="00F948AC">
        <w:rPr>
          <w:rFonts w:ascii="Times New Roman" w:hAnsi="Times New Roman" w:cs="Times New Roman"/>
          <w:color w:val="000000" w:themeColor="text1"/>
        </w:rPr>
        <w:t>月</w:t>
      </w:r>
      <w:r w:rsidRPr="00F948AC">
        <w:rPr>
          <w:rFonts w:ascii="Times New Roman" w:hAnsi="Times New Roman" w:cs="Times New Roman"/>
          <w:color w:val="000000" w:themeColor="text1"/>
        </w:rPr>
        <w:t>31</w:t>
      </w:r>
      <w:r w:rsidRPr="00F948AC">
        <w:rPr>
          <w:rFonts w:ascii="Times New Roman" w:hAnsi="Times New Roman" w:cs="Times New Roman"/>
          <w:color w:val="000000" w:themeColor="text1"/>
        </w:rPr>
        <w:t>日，</w:t>
      </w:r>
      <w:r w:rsidR="00B31423" w:rsidRPr="00F948AC">
        <w:rPr>
          <w:rFonts w:ascii="Times New Roman" w:hAnsi="Times New Roman" w:cs="Times New Roman"/>
          <w:color w:val="000000" w:themeColor="text1"/>
        </w:rPr>
        <w:t>股票池为</w:t>
      </w:r>
      <w:r w:rsidR="00B31423" w:rsidRPr="00F948AC">
        <w:rPr>
          <w:rFonts w:ascii="Times New Roman" w:hAnsi="Times New Roman" w:cs="Times New Roman"/>
          <w:color w:val="000000" w:themeColor="text1"/>
        </w:rPr>
        <w:t>pool</w:t>
      </w:r>
      <w:r w:rsidR="00B31423" w:rsidRPr="00F948AC">
        <w:rPr>
          <w:rFonts w:ascii="Times New Roman" w:hAnsi="Times New Roman" w:cs="Times New Roman"/>
          <w:color w:val="000000" w:themeColor="text1"/>
        </w:rPr>
        <w:t>中的</w:t>
      </w:r>
      <w:r w:rsidR="00B31423" w:rsidRPr="00F948AC">
        <w:rPr>
          <w:rFonts w:ascii="Times New Roman" w:hAnsi="Times New Roman" w:cs="Times New Roman"/>
          <w:color w:val="000000" w:themeColor="text1"/>
        </w:rPr>
        <w:t>10</w:t>
      </w:r>
      <w:r w:rsidR="00B31423" w:rsidRPr="00F948AC">
        <w:rPr>
          <w:rFonts w:ascii="Times New Roman" w:hAnsi="Times New Roman" w:cs="Times New Roman"/>
          <w:color w:val="000000" w:themeColor="text1"/>
        </w:rPr>
        <w:t>只股票，策略参考标准为沪深</w:t>
      </w:r>
      <w:r w:rsidR="00B31423" w:rsidRPr="00F948AC">
        <w:rPr>
          <w:rFonts w:ascii="Times New Roman" w:hAnsi="Times New Roman" w:cs="Times New Roman"/>
          <w:color w:val="000000" w:themeColor="text1"/>
        </w:rPr>
        <w:t>300</w:t>
      </w:r>
      <w:r w:rsidR="00B31423" w:rsidRPr="00F948AC">
        <w:rPr>
          <w:rFonts w:ascii="Times New Roman" w:hAnsi="Times New Roman" w:cs="Times New Roman"/>
          <w:color w:val="000000" w:themeColor="text1"/>
        </w:rPr>
        <w:t>指数，起始资金设为</w:t>
      </w:r>
      <w:r w:rsidR="00B31423" w:rsidRPr="00F948AC">
        <w:rPr>
          <w:rFonts w:ascii="Times New Roman" w:hAnsi="Times New Roman" w:cs="Times New Roman"/>
          <w:color w:val="000000" w:themeColor="text1"/>
        </w:rPr>
        <w:t>10,0000</w:t>
      </w:r>
      <w:r w:rsidR="00B31423" w:rsidRPr="00F948AC">
        <w:rPr>
          <w:rFonts w:ascii="Times New Roman" w:hAnsi="Times New Roman" w:cs="Times New Roman"/>
          <w:color w:val="000000" w:themeColor="text1"/>
        </w:rPr>
        <w:t>元，交易频率为日间；</w:t>
      </w:r>
    </w:p>
    <w:p w:rsidR="005C53B8" w:rsidRPr="00F948AC" w:rsidRDefault="00B31423"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4</w:t>
      </w:r>
      <w:r w:rsidRPr="00F948AC">
        <w:rPr>
          <w:rFonts w:ascii="Times New Roman" w:hAnsi="Times New Roman" w:cs="Times New Roman"/>
          <w:color w:val="000000" w:themeColor="text1"/>
        </w:rPr>
        <w:t>．</w:t>
      </w:r>
      <w:r w:rsidR="005C53B8" w:rsidRPr="00F948AC">
        <w:rPr>
          <w:rFonts w:ascii="Times New Roman" w:hAnsi="Times New Roman" w:cs="Times New Roman"/>
          <w:color w:val="000000" w:themeColor="text1"/>
        </w:rPr>
        <w:t>initialize</w:t>
      </w:r>
      <w:r w:rsidR="005C53B8" w:rsidRPr="00F948AC">
        <w:rPr>
          <w:rFonts w:ascii="Times New Roman" w:hAnsi="Times New Roman" w:cs="Times New Roman"/>
          <w:color w:val="000000" w:themeColor="text1"/>
        </w:rPr>
        <w:t>里可以做一些初始化的工作</w:t>
      </w:r>
      <w:r w:rsidRPr="00F948AC">
        <w:rPr>
          <w:rFonts w:ascii="Times New Roman" w:hAnsi="Times New Roman" w:cs="Times New Roman"/>
          <w:color w:val="000000" w:themeColor="text1"/>
        </w:rPr>
        <w:t>，</w:t>
      </w:r>
      <w:proofErr w:type="spellStart"/>
      <w:r w:rsidR="005C53B8" w:rsidRPr="00F948AC">
        <w:rPr>
          <w:rFonts w:ascii="Times New Roman" w:hAnsi="Times New Roman" w:cs="Times New Roman"/>
          <w:color w:val="000000" w:themeColor="text1"/>
        </w:rPr>
        <w:t>handle_data</w:t>
      </w:r>
      <w:proofErr w:type="spellEnd"/>
      <w:r w:rsidR="005C53B8" w:rsidRPr="00F948AC">
        <w:rPr>
          <w:rFonts w:ascii="Times New Roman" w:hAnsi="Times New Roman" w:cs="Times New Roman"/>
          <w:color w:val="000000" w:themeColor="text1"/>
        </w:rPr>
        <w:t>则</w:t>
      </w:r>
      <w:proofErr w:type="gramStart"/>
      <w:r w:rsidR="005C53B8" w:rsidRPr="00F948AC">
        <w:rPr>
          <w:rFonts w:ascii="Times New Roman" w:hAnsi="Times New Roman" w:cs="Times New Roman"/>
          <w:color w:val="000000" w:themeColor="text1"/>
        </w:rPr>
        <w:t>是回测代码</w:t>
      </w:r>
      <w:proofErr w:type="gramEnd"/>
      <w:r w:rsidR="005C53B8" w:rsidRPr="00F948AC">
        <w:rPr>
          <w:rFonts w:ascii="Times New Roman" w:hAnsi="Times New Roman" w:cs="Times New Roman"/>
          <w:color w:val="000000" w:themeColor="text1"/>
        </w:rPr>
        <w:t>的核心，用来实现每个交易日（或每分钟）的交易指令</w:t>
      </w:r>
      <w:r w:rsidRPr="00F948AC">
        <w:rPr>
          <w:rFonts w:ascii="Times New Roman" w:hAnsi="Times New Roman" w:cs="Times New Roman"/>
          <w:color w:val="000000" w:themeColor="text1"/>
        </w:rPr>
        <w:t>；</w:t>
      </w:r>
    </w:p>
    <w:p w:rsidR="005C53B8" w:rsidRPr="00F948AC" w:rsidRDefault="00B31423"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lastRenderedPageBreak/>
        <w:t>5</w:t>
      </w:r>
      <w:r w:rsidRPr="00F948AC">
        <w:rPr>
          <w:rFonts w:ascii="Times New Roman" w:hAnsi="Times New Roman" w:cs="Times New Roman"/>
          <w:color w:val="000000" w:themeColor="text1"/>
        </w:rPr>
        <w:t>．基于风险偏好者的假定，我们设计这样的交易策略：如果一只未持有的股票在</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个交易日累计涨了</w:t>
      </w:r>
      <w:r w:rsidRPr="00F948AC">
        <w:rPr>
          <w:rFonts w:ascii="Times New Roman" w:hAnsi="Times New Roman" w:cs="Times New Roman"/>
          <w:color w:val="000000" w:themeColor="text1"/>
        </w:rPr>
        <w:t>80%</w:t>
      </w:r>
      <w:r w:rsidRPr="00F948AC">
        <w:rPr>
          <w:rFonts w:ascii="Times New Roman" w:hAnsi="Times New Roman" w:cs="Times New Roman"/>
          <w:color w:val="000000" w:themeColor="text1"/>
        </w:rPr>
        <w:t>以上，就以当前资金的</w:t>
      </w:r>
      <w:r w:rsidRPr="00F948AC">
        <w:rPr>
          <w:rFonts w:ascii="Times New Roman" w:hAnsi="Times New Roman" w:cs="Times New Roman"/>
          <w:color w:val="000000" w:themeColor="text1"/>
        </w:rPr>
        <w:t>80%</w:t>
      </w:r>
      <w:r w:rsidRPr="00F948AC">
        <w:rPr>
          <w:rFonts w:ascii="Times New Roman" w:hAnsi="Times New Roman" w:cs="Times New Roman"/>
          <w:color w:val="000000" w:themeColor="text1"/>
        </w:rPr>
        <w:t>买入它；反之，如果在</w:t>
      </w:r>
      <w:r w:rsidRPr="00F948AC">
        <w:rPr>
          <w:rFonts w:ascii="Times New Roman" w:hAnsi="Times New Roman" w:cs="Times New Roman"/>
          <w:color w:val="000000" w:themeColor="text1"/>
        </w:rPr>
        <w:t>2</w:t>
      </w:r>
      <w:r w:rsidRPr="00F948AC">
        <w:rPr>
          <w:rFonts w:ascii="Times New Roman" w:hAnsi="Times New Roman" w:cs="Times New Roman"/>
          <w:color w:val="000000" w:themeColor="text1"/>
        </w:rPr>
        <w:t>个交易日内累计涨幅不及</w:t>
      </w:r>
      <w:r w:rsidRPr="00F948AC">
        <w:rPr>
          <w:rFonts w:ascii="Times New Roman" w:hAnsi="Times New Roman" w:cs="Times New Roman"/>
          <w:color w:val="000000" w:themeColor="text1"/>
        </w:rPr>
        <w:t>80%</w:t>
      </w:r>
      <w:r w:rsidRPr="00F948AC">
        <w:rPr>
          <w:rFonts w:ascii="Times New Roman" w:hAnsi="Times New Roman" w:cs="Times New Roman"/>
          <w:color w:val="000000" w:themeColor="text1"/>
        </w:rPr>
        <w:t>，就全部卖出止损；</w:t>
      </w:r>
    </w:p>
    <w:p w:rsidR="00B31423" w:rsidRPr="00F948AC" w:rsidRDefault="00B31423" w:rsidP="00F709B5">
      <w:pPr>
        <w:spacing w:line="360" w:lineRule="auto"/>
        <w:rPr>
          <w:rFonts w:ascii="Times New Roman" w:hAnsi="Times New Roman" w:cs="Times New Roman"/>
          <w:color w:val="000000" w:themeColor="text1"/>
        </w:rPr>
      </w:pPr>
      <w:r w:rsidRPr="00F948AC">
        <w:rPr>
          <w:rFonts w:ascii="Times New Roman" w:hAnsi="Times New Roman" w:cs="Times New Roman"/>
          <w:color w:val="000000" w:themeColor="text1"/>
        </w:rPr>
        <w:t>6</w:t>
      </w:r>
      <w:r w:rsidR="005C53B8"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点击</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运行</w:t>
      </w:r>
      <w:r w:rsidRPr="00F948AC">
        <w:rPr>
          <w:rFonts w:ascii="Times New Roman" w:hAnsi="Times New Roman" w:cs="Times New Roman"/>
          <w:color w:val="000000" w:themeColor="text1"/>
        </w:rPr>
        <w:t>”</w:t>
      </w:r>
      <w:r w:rsidRPr="00F948AC">
        <w:rPr>
          <w:rFonts w:ascii="Times New Roman" w:hAnsi="Times New Roman" w:cs="Times New Roman"/>
          <w:color w:val="000000" w:themeColor="text1"/>
        </w:rPr>
        <w:t>，或</w:t>
      </w:r>
      <w:proofErr w:type="spellStart"/>
      <w:r w:rsidRPr="00F948AC">
        <w:rPr>
          <w:rFonts w:ascii="Times New Roman" w:hAnsi="Times New Roman" w:cs="Times New Roman"/>
          <w:color w:val="000000" w:themeColor="text1"/>
        </w:rPr>
        <w:t>Ctrl+Enter</w:t>
      </w:r>
      <w:proofErr w:type="spellEnd"/>
      <w:r w:rsidRPr="00F948AC">
        <w:rPr>
          <w:rFonts w:ascii="Times New Roman" w:hAnsi="Times New Roman" w:cs="Times New Roman"/>
          <w:color w:val="000000" w:themeColor="text1"/>
        </w:rPr>
        <w:t>，即可在页面上看到策略的执行情况。</w:t>
      </w:r>
    </w:p>
    <w:p w:rsidR="00B31423" w:rsidRPr="00F948AC" w:rsidRDefault="00CE0EAB" w:rsidP="00F709B5">
      <w:pPr>
        <w:pStyle w:val="2"/>
        <w:spacing w:before="0" w:after="0" w:line="360" w:lineRule="auto"/>
        <w:rPr>
          <w:rFonts w:ascii="Times New Roman" w:hAnsi="Times New Roman" w:cs="Times New Roman"/>
          <w:bCs w:val="0"/>
          <w:color w:val="000000" w:themeColor="text1"/>
        </w:rPr>
      </w:pPr>
      <w:bookmarkStart w:id="19" w:name="_Toc512116433"/>
      <w:r w:rsidRPr="00F948AC">
        <w:rPr>
          <w:rFonts w:ascii="Times New Roman" w:hAnsi="Times New Roman" w:cs="Times New Roman"/>
          <w:color w:val="000000" w:themeColor="text1"/>
        </w:rPr>
        <w:t>（</w:t>
      </w:r>
      <w:r w:rsidR="00B31423" w:rsidRPr="00F948AC">
        <w:rPr>
          <w:rFonts w:ascii="Times New Roman" w:hAnsi="Times New Roman" w:cs="Times New Roman"/>
          <w:color w:val="000000" w:themeColor="text1"/>
        </w:rPr>
        <w:t>三</w:t>
      </w:r>
      <w:r w:rsidRPr="00F948AC">
        <w:rPr>
          <w:rFonts w:ascii="Times New Roman" w:hAnsi="Times New Roman" w:cs="Times New Roman"/>
          <w:color w:val="000000" w:themeColor="text1"/>
        </w:rPr>
        <w:t>）结果</w:t>
      </w:r>
      <w:r w:rsidRPr="00F948AC">
        <w:rPr>
          <w:rFonts w:ascii="Times New Roman" w:hAnsi="Times New Roman" w:cs="Times New Roman"/>
          <w:bCs w:val="0"/>
          <w:color w:val="000000" w:themeColor="text1"/>
        </w:rPr>
        <w:t>展示</w:t>
      </w:r>
      <w:bookmarkEnd w:id="19"/>
    </w:p>
    <w:p w:rsidR="00F13A5C" w:rsidRPr="00F948AC" w:rsidRDefault="00970900" w:rsidP="00F709B5">
      <w:pPr>
        <w:spacing w:line="360" w:lineRule="auto"/>
        <w:ind w:firstLineChars="200" w:firstLine="420"/>
        <w:rPr>
          <w:rFonts w:ascii="Times New Roman" w:hAnsi="Times New Roman" w:cs="Times New Roman"/>
        </w:rPr>
      </w:pPr>
      <w:r w:rsidRPr="00F948AC">
        <w:rPr>
          <w:rFonts w:ascii="Times New Roman" w:hAnsi="Times New Roman" w:cs="Times New Roman"/>
        </w:rPr>
        <w:t>上述动态调整交易策略的执行效果以累计收益率的形式体现，策略收益率与基准收益率在</w:t>
      </w:r>
      <w:r w:rsidRPr="00F948AC">
        <w:rPr>
          <w:rFonts w:ascii="Times New Roman" w:hAnsi="Times New Roman" w:cs="Times New Roman"/>
        </w:rPr>
        <w:t>3</w:t>
      </w:r>
      <w:r w:rsidRPr="00F948AC">
        <w:rPr>
          <w:rFonts w:ascii="Times New Roman" w:hAnsi="Times New Roman" w:cs="Times New Roman"/>
        </w:rPr>
        <w:t>月的变动情况如下图</w:t>
      </w:r>
      <w:r w:rsidRPr="00F948AC">
        <w:rPr>
          <w:rFonts w:ascii="Times New Roman" w:hAnsi="Times New Roman" w:cs="Times New Roman"/>
        </w:rPr>
        <w:t>5-1</w:t>
      </w:r>
      <w:r w:rsidRPr="00F948AC">
        <w:rPr>
          <w:rFonts w:ascii="Times New Roman" w:hAnsi="Times New Roman" w:cs="Times New Roman"/>
        </w:rPr>
        <w:t>所示</w:t>
      </w:r>
      <w:r w:rsidR="00F13A5C" w:rsidRPr="00F948AC">
        <w:rPr>
          <w:rFonts w:ascii="Times New Roman" w:hAnsi="Times New Roman" w:cs="Times New Roman"/>
        </w:rPr>
        <w:t>；</w:t>
      </w:r>
      <w:proofErr w:type="gramStart"/>
      <w:r w:rsidR="00F13A5C" w:rsidRPr="00F948AC">
        <w:rPr>
          <w:rFonts w:ascii="Times New Roman" w:hAnsi="Times New Roman" w:cs="Times New Roman"/>
          <w:color w:val="000000" w:themeColor="text1"/>
        </w:rPr>
        <w:t>回测结果</w:t>
      </w:r>
      <w:proofErr w:type="gramEnd"/>
      <w:r w:rsidR="00F13A5C" w:rsidRPr="00F948AC">
        <w:rPr>
          <w:rFonts w:ascii="Times New Roman" w:hAnsi="Times New Roman" w:cs="Times New Roman"/>
          <w:color w:val="000000" w:themeColor="text1"/>
        </w:rPr>
        <w:t>中有关策略评价的指标信息如下表</w:t>
      </w:r>
      <w:r w:rsidR="00F13A5C" w:rsidRPr="00F948AC">
        <w:rPr>
          <w:rFonts w:ascii="Times New Roman" w:hAnsi="Times New Roman" w:cs="Times New Roman"/>
          <w:color w:val="000000" w:themeColor="text1"/>
        </w:rPr>
        <w:t>5-1</w:t>
      </w:r>
      <w:r w:rsidR="00F13A5C" w:rsidRPr="00F948AC">
        <w:rPr>
          <w:rFonts w:ascii="Times New Roman" w:hAnsi="Times New Roman" w:cs="Times New Roman"/>
          <w:color w:val="000000" w:themeColor="text1"/>
        </w:rPr>
        <w:t>所示。</w:t>
      </w:r>
    </w:p>
    <w:p w:rsidR="00B31423" w:rsidRPr="00F948AC" w:rsidRDefault="00F13A5C" w:rsidP="00F709B5">
      <w:pPr>
        <w:spacing w:line="360" w:lineRule="auto"/>
        <w:ind w:firstLineChars="200" w:firstLine="420"/>
        <w:rPr>
          <w:rFonts w:ascii="Times New Roman" w:hAnsi="Times New Roman" w:cs="Times New Roman"/>
        </w:rPr>
      </w:pPr>
      <w:r w:rsidRPr="00F948AC">
        <w:rPr>
          <w:rFonts w:ascii="Times New Roman" w:hAnsi="Times New Roman" w:cs="Times New Roman"/>
        </w:rPr>
        <w:t>可知在</w:t>
      </w:r>
      <w:r w:rsidRPr="00F948AC">
        <w:rPr>
          <w:rFonts w:ascii="Times New Roman" w:hAnsi="Times New Roman" w:cs="Times New Roman"/>
        </w:rPr>
        <w:t>3</w:t>
      </w:r>
      <w:r w:rsidRPr="00F948AC">
        <w:rPr>
          <w:rFonts w:ascii="Times New Roman" w:hAnsi="Times New Roman" w:cs="Times New Roman"/>
        </w:rPr>
        <w:t>月</w:t>
      </w:r>
      <w:r w:rsidRPr="00F948AC">
        <w:rPr>
          <w:rFonts w:ascii="Times New Roman" w:hAnsi="Times New Roman" w:cs="Times New Roman"/>
        </w:rPr>
        <w:t>1</w:t>
      </w:r>
      <w:r w:rsidRPr="00F948AC">
        <w:rPr>
          <w:rFonts w:ascii="Times New Roman" w:hAnsi="Times New Roman" w:cs="Times New Roman"/>
        </w:rPr>
        <w:t>日至</w:t>
      </w:r>
      <w:r w:rsidRPr="00F948AC">
        <w:rPr>
          <w:rFonts w:ascii="Times New Roman" w:hAnsi="Times New Roman" w:cs="Times New Roman"/>
        </w:rPr>
        <w:t>3</w:t>
      </w:r>
      <w:r w:rsidRPr="00F948AC">
        <w:rPr>
          <w:rFonts w:ascii="Times New Roman" w:hAnsi="Times New Roman" w:cs="Times New Roman"/>
        </w:rPr>
        <w:t>月</w:t>
      </w:r>
      <w:r w:rsidRPr="00F948AC">
        <w:rPr>
          <w:rFonts w:ascii="Times New Roman" w:hAnsi="Times New Roman" w:cs="Times New Roman"/>
        </w:rPr>
        <w:t>14</w:t>
      </w:r>
      <w:r w:rsidRPr="00F948AC">
        <w:rPr>
          <w:rFonts w:ascii="Times New Roman" w:hAnsi="Times New Roman" w:cs="Times New Roman"/>
        </w:rPr>
        <w:t>日以及</w:t>
      </w:r>
      <w:r w:rsidRPr="00F948AC">
        <w:rPr>
          <w:rFonts w:ascii="Times New Roman" w:hAnsi="Times New Roman" w:cs="Times New Roman"/>
        </w:rPr>
        <w:t>3</w:t>
      </w:r>
      <w:r w:rsidRPr="00F948AC">
        <w:rPr>
          <w:rFonts w:ascii="Times New Roman" w:hAnsi="Times New Roman" w:cs="Times New Roman"/>
        </w:rPr>
        <w:t>月</w:t>
      </w:r>
      <w:r w:rsidRPr="00F948AC">
        <w:rPr>
          <w:rFonts w:ascii="Times New Roman" w:hAnsi="Times New Roman" w:cs="Times New Roman"/>
        </w:rPr>
        <w:t>24</w:t>
      </w:r>
      <w:r w:rsidRPr="00F948AC">
        <w:rPr>
          <w:rFonts w:ascii="Times New Roman" w:hAnsi="Times New Roman" w:cs="Times New Roman"/>
        </w:rPr>
        <w:t>日至</w:t>
      </w:r>
      <w:r w:rsidRPr="00F948AC">
        <w:rPr>
          <w:rFonts w:ascii="Times New Roman" w:hAnsi="Times New Roman" w:cs="Times New Roman"/>
        </w:rPr>
        <w:t>3</w:t>
      </w:r>
      <w:r w:rsidRPr="00F948AC">
        <w:rPr>
          <w:rFonts w:ascii="Times New Roman" w:hAnsi="Times New Roman" w:cs="Times New Roman"/>
        </w:rPr>
        <w:t>月</w:t>
      </w:r>
      <w:r w:rsidRPr="00F948AC">
        <w:rPr>
          <w:rFonts w:ascii="Times New Roman" w:hAnsi="Times New Roman" w:cs="Times New Roman"/>
        </w:rPr>
        <w:t>31</w:t>
      </w:r>
      <w:r w:rsidRPr="00F948AC">
        <w:rPr>
          <w:rFonts w:ascii="Times New Roman" w:hAnsi="Times New Roman" w:cs="Times New Roman"/>
        </w:rPr>
        <w:t>日的交易日期间，策略收益率落在基准收益率上方</w:t>
      </w:r>
      <w:r w:rsidR="00EF7951">
        <w:rPr>
          <w:rFonts w:ascii="Times New Roman" w:hAnsi="Times New Roman" w:cs="Times New Roman" w:hint="eastAsia"/>
        </w:rPr>
        <w:t>（累计收益率在</w:t>
      </w:r>
      <w:r w:rsidR="00463F6D">
        <w:rPr>
          <w:rFonts w:ascii="Times New Roman" w:hAnsi="Times New Roman" w:cs="Times New Roman" w:hint="eastAsia"/>
        </w:rPr>
        <w:t>3</w:t>
      </w:r>
      <w:r w:rsidR="00463F6D">
        <w:rPr>
          <w:rFonts w:ascii="Times New Roman" w:hAnsi="Times New Roman" w:cs="Times New Roman" w:hint="eastAsia"/>
        </w:rPr>
        <w:t>月</w:t>
      </w:r>
      <w:r w:rsidR="00463F6D">
        <w:rPr>
          <w:rFonts w:ascii="Times New Roman" w:hAnsi="Times New Roman" w:cs="Times New Roman" w:hint="eastAsia"/>
        </w:rPr>
        <w:t>7</w:t>
      </w:r>
      <w:r w:rsidR="00463F6D">
        <w:rPr>
          <w:rFonts w:ascii="Times New Roman" w:hAnsi="Times New Roman" w:cs="Times New Roman" w:hint="eastAsia"/>
        </w:rPr>
        <w:t>日达到峰值</w:t>
      </w:r>
      <w:r w:rsidR="00463F6D">
        <w:rPr>
          <w:rFonts w:ascii="Times New Roman" w:hAnsi="Times New Roman" w:cs="Times New Roman" w:hint="eastAsia"/>
        </w:rPr>
        <w:t>11.</w:t>
      </w:r>
      <w:r w:rsidR="00463F6D">
        <w:rPr>
          <w:rFonts w:ascii="Times New Roman" w:hAnsi="Times New Roman" w:cs="Times New Roman"/>
        </w:rPr>
        <w:t>10%</w:t>
      </w:r>
      <w:r w:rsidR="00463F6D">
        <w:rPr>
          <w:rFonts w:ascii="Times New Roman" w:hAnsi="Times New Roman" w:cs="Times New Roman" w:hint="eastAsia"/>
        </w:rPr>
        <w:t>，超越大盘</w:t>
      </w:r>
      <w:r w:rsidR="00463F6D">
        <w:rPr>
          <w:rFonts w:ascii="Times New Roman" w:hAnsi="Times New Roman" w:cs="Times New Roman" w:hint="eastAsia"/>
        </w:rPr>
        <w:t>10.78%</w:t>
      </w:r>
      <w:r w:rsidR="00EF7951">
        <w:rPr>
          <w:rFonts w:ascii="Times New Roman" w:hAnsi="Times New Roman" w:cs="Times New Roman" w:hint="eastAsia"/>
        </w:rPr>
        <w:t>）</w:t>
      </w:r>
      <w:r w:rsidRPr="00F948AC">
        <w:rPr>
          <w:rFonts w:ascii="Times New Roman" w:hAnsi="Times New Roman" w:cs="Times New Roman"/>
        </w:rPr>
        <w:t>，此时应依照动态策略的指示持有股票池</w:t>
      </w:r>
      <w:r w:rsidRPr="00F948AC">
        <w:rPr>
          <w:rFonts w:ascii="Times New Roman" w:hAnsi="Times New Roman" w:cs="Times New Roman"/>
        </w:rPr>
        <w:t>pool</w:t>
      </w:r>
      <w:r w:rsidRPr="00F948AC">
        <w:rPr>
          <w:rFonts w:ascii="Times New Roman" w:hAnsi="Times New Roman" w:cs="Times New Roman"/>
        </w:rPr>
        <w:t>；而在</w:t>
      </w:r>
      <w:r w:rsidR="00970900" w:rsidRPr="00F948AC">
        <w:rPr>
          <w:rFonts w:ascii="Times New Roman" w:hAnsi="Times New Roman" w:cs="Times New Roman"/>
        </w:rPr>
        <w:t>3</w:t>
      </w:r>
      <w:r w:rsidR="00970900" w:rsidRPr="00F948AC">
        <w:rPr>
          <w:rFonts w:ascii="Times New Roman" w:hAnsi="Times New Roman" w:cs="Times New Roman"/>
        </w:rPr>
        <w:t>月</w:t>
      </w:r>
      <w:r w:rsidR="00970900" w:rsidRPr="00F948AC">
        <w:rPr>
          <w:rFonts w:ascii="Times New Roman" w:hAnsi="Times New Roman" w:cs="Times New Roman"/>
        </w:rPr>
        <w:t>15</w:t>
      </w:r>
      <w:r w:rsidR="00970900" w:rsidRPr="00F948AC">
        <w:rPr>
          <w:rFonts w:ascii="Times New Roman" w:hAnsi="Times New Roman" w:cs="Times New Roman"/>
        </w:rPr>
        <w:t>日至</w:t>
      </w:r>
      <w:r w:rsidR="00970900" w:rsidRPr="00F948AC">
        <w:rPr>
          <w:rFonts w:ascii="Times New Roman" w:hAnsi="Times New Roman" w:cs="Times New Roman"/>
        </w:rPr>
        <w:t>3</w:t>
      </w:r>
      <w:r w:rsidR="00970900" w:rsidRPr="00F948AC">
        <w:rPr>
          <w:rFonts w:ascii="Times New Roman" w:hAnsi="Times New Roman" w:cs="Times New Roman"/>
        </w:rPr>
        <w:t>月</w:t>
      </w:r>
      <w:r w:rsidR="00970900" w:rsidRPr="00F948AC">
        <w:rPr>
          <w:rFonts w:ascii="Times New Roman" w:hAnsi="Times New Roman" w:cs="Times New Roman"/>
        </w:rPr>
        <w:t>23</w:t>
      </w:r>
      <w:r w:rsidR="00970900" w:rsidRPr="00F948AC">
        <w:rPr>
          <w:rFonts w:ascii="Times New Roman" w:hAnsi="Times New Roman" w:cs="Times New Roman"/>
        </w:rPr>
        <w:t>日</w:t>
      </w:r>
      <w:r w:rsidRPr="00F948AC">
        <w:rPr>
          <w:rFonts w:ascii="Times New Roman" w:hAnsi="Times New Roman" w:cs="Times New Roman"/>
        </w:rPr>
        <w:t>的交易日期间，</w:t>
      </w:r>
      <w:r w:rsidR="00970900" w:rsidRPr="00F948AC">
        <w:rPr>
          <w:rFonts w:ascii="Times New Roman" w:hAnsi="Times New Roman" w:cs="Times New Roman"/>
        </w:rPr>
        <w:t>策略收益率落在基准收益率下方</w:t>
      </w:r>
      <w:r w:rsidR="00463F6D">
        <w:rPr>
          <w:rFonts w:ascii="Times New Roman" w:hAnsi="Times New Roman" w:cs="Times New Roman" w:hint="eastAsia"/>
        </w:rPr>
        <w:t>（累计收益率在</w:t>
      </w:r>
      <w:r w:rsidR="00463F6D">
        <w:rPr>
          <w:rFonts w:ascii="Times New Roman" w:hAnsi="Times New Roman" w:cs="Times New Roman" w:hint="eastAsia"/>
        </w:rPr>
        <w:t>3</w:t>
      </w:r>
      <w:r w:rsidR="00463F6D">
        <w:rPr>
          <w:rFonts w:ascii="Times New Roman" w:hAnsi="Times New Roman" w:cs="Times New Roman" w:hint="eastAsia"/>
        </w:rPr>
        <w:t>月</w:t>
      </w:r>
      <w:r w:rsidR="00463F6D">
        <w:rPr>
          <w:rFonts w:ascii="Times New Roman" w:hAnsi="Times New Roman" w:cs="Times New Roman" w:hint="eastAsia"/>
        </w:rPr>
        <w:t>23</w:t>
      </w:r>
      <w:r w:rsidR="00463F6D">
        <w:rPr>
          <w:rFonts w:ascii="Times New Roman" w:hAnsi="Times New Roman" w:cs="Times New Roman" w:hint="eastAsia"/>
        </w:rPr>
        <w:t>日落到低谷</w:t>
      </w:r>
      <w:r w:rsidR="00C44D1F">
        <w:rPr>
          <w:rFonts w:ascii="Cambria Math" w:hAnsi="Cambria Math" w:cs="Times New Roman" w:hint="eastAsia"/>
        </w:rPr>
        <w:t>-</w:t>
      </w:r>
      <w:r w:rsidR="00463F6D">
        <w:rPr>
          <w:rFonts w:ascii="Times New Roman" w:hAnsi="Times New Roman" w:cs="Times New Roman" w:hint="eastAsia"/>
        </w:rPr>
        <w:t>9.46</w:t>
      </w:r>
      <w:r w:rsidR="00463F6D">
        <w:rPr>
          <w:rFonts w:ascii="Times New Roman" w:hAnsi="Times New Roman" w:cs="Times New Roman"/>
        </w:rPr>
        <w:t>%</w:t>
      </w:r>
      <w:r w:rsidR="00463F6D">
        <w:rPr>
          <w:rFonts w:ascii="Times New Roman" w:hAnsi="Times New Roman" w:cs="Times New Roman" w:hint="eastAsia"/>
        </w:rPr>
        <w:t>，跌过大盘</w:t>
      </w:r>
      <w:r w:rsidR="00463F6D">
        <w:rPr>
          <w:rFonts w:ascii="Times New Roman" w:hAnsi="Times New Roman" w:cs="Times New Roman" w:hint="eastAsia"/>
        </w:rPr>
        <w:t>6.51%</w:t>
      </w:r>
      <w:r w:rsidR="00463F6D">
        <w:rPr>
          <w:rFonts w:ascii="Times New Roman" w:hAnsi="Times New Roman" w:cs="Times New Roman" w:hint="eastAsia"/>
        </w:rPr>
        <w:t>）</w:t>
      </w:r>
      <w:r w:rsidR="00970900" w:rsidRPr="00F948AC">
        <w:rPr>
          <w:rFonts w:ascii="Times New Roman" w:hAnsi="Times New Roman" w:cs="Times New Roman"/>
        </w:rPr>
        <w:t>，此时应</w:t>
      </w:r>
      <w:r w:rsidRPr="00F948AC">
        <w:rPr>
          <w:rFonts w:ascii="Times New Roman" w:hAnsi="Times New Roman" w:cs="Times New Roman"/>
        </w:rPr>
        <w:t>按最优风险权重的比例持有</w:t>
      </w:r>
      <w:r w:rsidR="00970900" w:rsidRPr="00F948AC">
        <w:rPr>
          <w:rFonts w:ascii="Times New Roman" w:hAnsi="Times New Roman" w:cs="Times New Roman"/>
        </w:rPr>
        <w:t>投资组合</w:t>
      </w:r>
      <w:r w:rsidR="00970900" w:rsidRPr="00F948AC">
        <w:rPr>
          <w:rFonts w:ascii="Times New Roman" w:hAnsi="Times New Roman" w:cs="Times New Roman"/>
        </w:rPr>
        <w:t>portfolio</w:t>
      </w:r>
      <w:r w:rsidRPr="00F948AC">
        <w:rPr>
          <w:rFonts w:ascii="Times New Roman" w:hAnsi="Times New Roman" w:cs="Times New Roman"/>
        </w:rPr>
        <w:t>。</w:t>
      </w:r>
    </w:p>
    <w:p w:rsidR="00970900" w:rsidRPr="00F948AC" w:rsidRDefault="00B31423" w:rsidP="00F709B5">
      <w:pPr>
        <w:spacing w:line="360" w:lineRule="auto"/>
        <w:jc w:val="center"/>
        <w:rPr>
          <w:rFonts w:ascii="Times New Roman" w:hAnsi="Times New Roman" w:cs="Times New Roman"/>
          <w:color w:val="000000" w:themeColor="text1"/>
        </w:rPr>
      </w:pPr>
      <w:r w:rsidRPr="00F948AC">
        <w:rPr>
          <w:rFonts w:ascii="Times New Roman" w:hAnsi="Times New Roman" w:cs="Times New Roman"/>
          <w:noProof/>
        </w:rPr>
        <w:drawing>
          <wp:inline distT="0" distB="0" distL="0" distR="0" wp14:anchorId="4ADACFB1" wp14:editId="475E96A9">
            <wp:extent cx="4572000" cy="2743200"/>
            <wp:effectExtent l="0" t="0" r="0" b="0"/>
            <wp:docPr id="5" name="图表 5">
              <a:extLst xmlns:a="http://schemas.openxmlformats.org/drawingml/2006/main">
                <a:ext uri="{FF2B5EF4-FFF2-40B4-BE49-F238E27FC236}">
                  <a16:creationId xmlns:a16="http://schemas.microsoft.com/office/drawing/2014/main" id="{C0EC553B-A489-4544-9248-4DD989ECA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F6657" w:rsidRDefault="00DF6657" w:rsidP="00DF6657">
      <w:pPr>
        <w:spacing w:line="360" w:lineRule="auto"/>
        <w:jc w:val="center"/>
        <w:rPr>
          <w:rFonts w:ascii="Times New Roman" w:hAnsi="Times New Roman" w:cs="Times New Roman"/>
        </w:rPr>
      </w:pPr>
      <w:r w:rsidRPr="00F948AC">
        <w:rPr>
          <w:rFonts w:ascii="Times New Roman" w:hAnsi="Times New Roman" w:cs="Times New Roman"/>
        </w:rPr>
        <w:t>图</w:t>
      </w:r>
      <w:r w:rsidRPr="00F948AC">
        <w:rPr>
          <w:rFonts w:ascii="Times New Roman" w:hAnsi="Times New Roman" w:cs="Times New Roman"/>
        </w:rPr>
        <w:t xml:space="preserve">5-1  </w:t>
      </w:r>
      <w:r w:rsidRPr="00F948AC">
        <w:rPr>
          <w:rFonts w:ascii="Times New Roman" w:hAnsi="Times New Roman" w:cs="Times New Roman"/>
        </w:rPr>
        <w:t>策略收益率与基准收益率的对比</w:t>
      </w:r>
    </w:p>
    <w:p w:rsidR="00DF6657" w:rsidRPr="00F948AC" w:rsidRDefault="00DF6657" w:rsidP="00DF6657">
      <w:pPr>
        <w:spacing w:line="360" w:lineRule="auto"/>
        <w:jc w:val="center"/>
        <w:rPr>
          <w:rFonts w:ascii="Times New Roman" w:hAnsi="Times New Roman" w:cs="Times New Roman" w:hint="eastAsia"/>
        </w:rPr>
      </w:pPr>
    </w:p>
    <w:p w:rsidR="00DF6657" w:rsidRPr="00F948AC" w:rsidRDefault="00DF6657" w:rsidP="00DF6657">
      <w:pPr>
        <w:spacing w:line="360" w:lineRule="auto"/>
        <w:jc w:val="center"/>
        <w:rPr>
          <w:rFonts w:ascii="Times New Roman" w:hAnsi="Times New Roman" w:cs="Times New Roman"/>
        </w:rPr>
      </w:pPr>
      <w:r w:rsidRPr="00F948AC">
        <w:rPr>
          <w:rFonts w:ascii="Times New Roman" w:hAnsi="Times New Roman" w:cs="Times New Roman"/>
        </w:rPr>
        <w:t>表</w:t>
      </w:r>
      <w:r w:rsidRPr="00F948AC">
        <w:rPr>
          <w:rFonts w:ascii="Times New Roman" w:hAnsi="Times New Roman" w:cs="Times New Roman"/>
        </w:rPr>
        <w:t xml:space="preserve">5-1  </w:t>
      </w:r>
      <w:proofErr w:type="gramStart"/>
      <w:r w:rsidRPr="00F948AC">
        <w:rPr>
          <w:rFonts w:ascii="Times New Roman" w:hAnsi="Times New Roman" w:cs="Times New Roman"/>
        </w:rPr>
        <w:t>回测指标</w:t>
      </w:r>
      <w:proofErr w:type="gramEnd"/>
    </w:p>
    <w:tbl>
      <w:tblPr>
        <w:tblStyle w:val="a3"/>
        <w:tblW w:w="5000" w:type="pct"/>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989"/>
        <w:gridCol w:w="1278"/>
        <w:gridCol w:w="890"/>
        <w:gridCol w:w="674"/>
        <w:gridCol w:w="708"/>
        <w:gridCol w:w="992"/>
        <w:gridCol w:w="851"/>
        <w:gridCol w:w="992"/>
        <w:gridCol w:w="932"/>
      </w:tblGrid>
      <w:tr w:rsidR="00B31423" w:rsidRPr="00F948AC" w:rsidTr="00970900">
        <w:trPr>
          <w:trHeight w:val="280"/>
        </w:trPr>
        <w:tc>
          <w:tcPr>
            <w:tcW w:w="595"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年化</w:t>
            </w:r>
          </w:p>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收益率</w:t>
            </w:r>
          </w:p>
        </w:tc>
        <w:tc>
          <w:tcPr>
            <w:tcW w:w="769"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基准年化</w:t>
            </w:r>
          </w:p>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收益率</w:t>
            </w:r>
          </w:p>
        </w:tc>
        <w:tc>
          <w:tcPr>
            <w:tcW w:w="536"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阿尔法</w:t>
            </w:r>
          </w:p>
        </w:tc>
        <w:tc>
          <w:tcPr>
            <w:tcW w:w="406"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贝塔</w:t>
            </w:r>
          </w:p>
        </w:tc>
        <w:tc>
          <w:tcPr>
            <w:tcW w:w="426"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夏普</w:t>
            </w:r>
          </w:p>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比率</w:t>
            </w:r>
          </w:p>
        </w:tc>
        <w:tc>
          <w:tcPr>
            <w:tcW w:w="597"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波动率</w:t>
            </w:r>
          </w:p>
        </w:tc>
        <w:tc>
          <w:tcPr>
            <w:tcW w:w="512"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信息</w:t>
            </w:r>
          </w:p>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比率</w:t>
            </w:r>
          </w:p>
        </w:tc>
        <w:tc>
          <w:tcPr>
            <w:tcW w:w="597"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最大</w:t>
            </w:r>
          </w:p>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回撤</w:t>
            </w:r>
          </w:p>
        </w:tc>
        <w:tc>
          <w:tcPr>
            <w:tcW w:w="561" w:type="pct"/>
            <w:noWrap/>
            <w:vAlign w:val="center"/>
            <w:hideMark/>
          </w:tcPr>
          <w:p w:rsidR="00B31423" w:rsidRPr="00F948AC" w:rsidRDefault="00B31423" w:rsidP="00F709B5">
            <w:pPr>
              <w:widowControl/>
              <w:spacing w:line="360" w:lineRule="auto"/>
              <w:jc w:val="center"/>
              <w:rPr>
                <w:rFonts w:ascii="Times New Roman" w:hAnsi="Times New Roman" w:cs="Times New Roman"/>
                <w:b/>
                <w:bCs/>
                <w:color w:val="000000" w:themeColor="text1"/>
                <w:kern w:val="0"/>
                <w:szCs w:val="21"/>
              </w:rPr>
            </w:pPr>
            <w:r w:rsidRPr="00F948AC">
              <w:rPr>
                <w:rFonts w:ascii="Times New Roman" w:hAnsi="Times New Roman" w:cs="Times New Roman"/>
                <w:b/>
                <w:bCs/>
                <w:color w:val="000000" w:themeColor="text1"/>
                <w:kern w:val="0"/>
                <w:szCs w:val="21"/>
              </w:rPr>
              <w:t>换手率</w:t>
            </w:r>
          </w:p>
        </w:tc>
      </w:tr>
      <w:tr w:rsidR="00B31423" w:rsidRPr="00F948AC" w:rsidTr="00970900">
        <w:trPr>
          <w:trHeight w:val="280"/>
        </w:trPr>
        <w:tc>
          <w:tcPr>
            <w:tcW w:w="595"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17.34%</w:t>
            </w:r>
          </w:p>
        </w:tc>
        <w:tc>
          <w:tcPr>
            <w:tcW w:w="769"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-30.17%</w:t>
            </w:r>
          </w:p>
        </w:tc>
        <w:tc>
          <w:tcPr>
            <w:tcW w:w="536"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47.09%</w:t>
            </w:r>
          </w:p>
        </w:tc>
        <w:tc>
          <w:tcPr>
            <w:tcW w:w="406"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0.99</w:t>
            </w:r>
          </w:p>
        </w:tc>
        <w:tc>
          <w:tcPr>
            <w:tcW w:w="426"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0.27</w:t>
            </w:r>
          </w:p>
        </w:tc>
        <w:tc>
          <w:tcPr>
            <w:tcW w:w="597"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52.09%</w:t>
            </w:r>
          </w:p>
        </w:tc>
        <w:tc>
          <w:tcPr>
            <w:tcW w:w="512"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1.28</w:t>
            </w:r>
          </w:p>
        </w:tc>
        <w:tc>
          <w:tcPr>
            <w:tcW w:w="597"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18.51%</w:t>
            </w:r>
          </w:p>
        </w:tc>
        <w:tc>
          <w:tcPr>
            <w:tcW w:w="561" w:type="pct"/>
            <w:noWrap/>
            <w:vAlign w:val="center"/>
            <w:hideMark/>
          </w:tcPr>
          <w:p w:rsidR="00B31423" w:rsidRPr="00F948AC" w:rsidRDefault="00B31423" w:rsidP="00F709B5">
            <w:pPr>
              <w:widowControl/>
              <w:spacing w:line="360" w:lineRule="auto"/>
              <w:jc w:val="center"/>
              <w:rPr>
                <w:rFonts w:ascii="Times New Roman" w:hAnsi="Times New Roman" w:cs="Times New Roman"/>
                <w:color w:val="000000" w:themeColor="text1"/>
                <w:kern w:val="0"/>
                <w:szCs w:val="21"/>
              </w:rPr>
            </w:pPr>
            <w:r w:rsidRPr="00F948AC">
              <w:rPr>
                <w:rFonts w:ascii="Times New Roman" w:hAnsi="Times New Roman" w:cs="Times New Roman"/>
                <w:color w:val="000000" w:themeColor="text1"/>
                <w:kern w:val="0"/>
                <w:szCs w:val="21"/>
              </w:rPr>
              <w:t>0.00</w:t>
            </w:r>
          </w:p>
        </w:tc>
      </w:tr>
    </w:tbl>
    <w:p w:rsidR="00970900" w:rsidRPr="00F948AC" w:rsidRDefault="00970900" w:rsidP="00F709B5">
      <w:pPr>
        <w:spacing w:line="360" w:lineRule="auto"/>
        <w:jc w:val="center"/>
        <w:rPr>
          <w:rFonts w:ascii="Times New Roman" w:hAnsi="Times New Roman" w:cs="Times New Roman"/>
          <w:color w:val="000000" w:themeColor="text1"/>
        </w:rPr>
      </w:pPr>
    </w:p>
    <w:p w:rsidR="00F709B5" w:rsidRPr="00F709B5" w:rsidRDefault="00F709B5" w:rsidP="00F709B5">
      <w:pPr>
        <w:pStyle w:val="1"/>
        <w:spacing w:before="0" w:after="0" w:line="360" w:lineRule="auto"/>
        <w:rPr>
          <w:rFonts w:ascii="Times New Roman" w:hAnsi="Times New Roman" w:cs="Times New Roman" w:hint="eastAsia"/>
          <w:color w:val="000000" w:themeColor="text1"/>
        </w:rPr>
      </w:pPr>
      <w:bookmarkStart w:id="20" w:name="_Toc512116434"/>
      <w:bookmarkEnd w:id="0"/>
      <w:r w:rsidRPr="00F948AC">
        <w:rPr>
          <w:rFonts w:ascii="Times New Roman" w:hAnsi="Times New Roman" w:cs="Times New Roman"/>
          <w:color w:val="000000" w:themeColor="text1"/>
        </w:rPr>
        <w:lastRenderedPageBreak/>
        <w:t>六、</w:t>
      </w:r>
      <w:proofErr w:type="gramStart"/>
      <w:r>
        <w:rPr>
          <w:rFonts w:ascii="Times New Roman" w:hAnsi="Times New Roman" w:cs="Times New Roman" w:hint="eastAsia"/>
          <w:color w:val="000000" w:themeColor="text1"/>
        </w:rPr>
        <w:t>回测</w:t>
      </w:r>
      <w:r w:rsidRPr="00F948AC">
        <w:rPr>
          <w:rFonts w:ascii="Times New Roman" w:hAnsi="Times New Roman" w:cs="Times New Roman"/>
          <w:color w:val="000000" w:themeColor="text1"/>
        </w:rPr>
        <w:t>分析</w:t>
      </w:r>
      <w:bookmarkEnd w:id="20"/>
      <w:proofErr w:type="gramEnd"/>
    </w:p>
    <w:p w:rsidR="00F709B5" w:rsidRPr="00031BEF" w:rsidRDefault="00F709B5" w:rsidP="00F709B5">
      <w:pPr>
        <w:pStyle w:val="2"/>
        <w:spacing w:before="0" w:after="0" w:line="360" w:lineRule="auto"/>
        <w:rPr>
          <w:rFonts w:ascii="Times New Roman" w:hAnsi="Times New Roman" w:cs="Times New Roman"/>
          <w:color w:val="000000" w:themeColor="text1"/>
        </w:rPr>
      </w:pPr>
      <w:bookmarkStart w:id="21" w:name="_Toc512116435"/>
      <w:r w:rsidRPr="00031BEF">
        <w:rPr>
          <w:rFonts w:ascii="Times New Roman" w:hAnsi="Times New Roman" w:cs="Times New Roman" w:hint="eastAsia"/>
          <w:color w:val="000000" w:themeColor="text1"/>
        </w:rPr>
        <w:t>（一）</w:t>
      </w:r>
      <w:proofErr w:type="gramStart"/>
      <w:r w:rsidRPr="00031BEF">
        <w:rPr>
          <w:rFonts w:ascii="Times New Roman" w:hAnsi="Times New Roman" w:cs="Times New Roman" w:hint="eastAsia"/>
          <w:color w:val="000000" w:themeColor="text1"/>
        </w:rPr>
        <w:t>个股</w:t>
      </w:r>
      <w:proofErr w:type="gramEnd"/>
      <w:r w:rsidRPr="00031BEF">
        <w:rPr>
          <w:rFonts w:ascii="Times New Roman" w:hAnsi="Times New Roman" w:cs="Times New Roman" w:hint="eastAsia"/>
          <w:color w:val="000000" w:themeColor="text1"/>
        </w:rPr>
        <w:t>分析</w:t>
      </w:r>
      <w:bookmarkEnd w:id="21"/>
    </w:p>
    <w:p w:rsidR="00F709B5" w:rsidRPr="00F709B5" w:rsidRDefault="00F709B5" w:rsidP="00F709B5">
      <w:pPr>
        <w:spacing w:line="360" w:lineRule="auto"/>
        <w:rPr>
          <w:rFonts w:ascii="Times New Roman" w:hAnsi="Times New Roman" w:cs="Times New Roman"/>
          <w:b/>
        </w:rPr>
      </w:pPr>
      <w:r w:rsidRPr="00F709B5">
        <w:rPr>
          <w:rFonts w:ascii="Times New Roman" w:hAnsi="Times New Roman" w:cs="Times New Roman"/>
          <w:b/>
        </w:rPr>
        <w:t>1</w:t>
      </w:r>
      <w:r w:rsidRPr="00F709B5">
        <w:rPr>
          <w:rFonts w:ascii="Times New Roman" w:hAnsi="Times New Roman" w:cs="Times New Roman"/>
          <w:b/>
        </w:rPr>
        <w:t>．中国铝业（</w:t>
      </w:r>
      <w:r w:rsidRPr="00F709B5">
        <w:rPr>
          <w:rFonts w:ascii="Times New Roman" w:hAnsi="Times New Roman" w:cs="Times New Roman"/>
          <w:b/>
        </w:rPr>
        <w:t>601600</w:t>
      </w:r>
      <w:r w:rsidRPr="00F709B5">
        <w:rPr>
          <w:rFonts w:ascii="Times New Roman" w:hAnsi="Times New Roman" w:cs="Times New Roman"/>
          <w:b/>
        </w:rPr>
        <w:t>）分析</w:t>
      </w:r>
    </w:p>
    <w:p w:rsidR="00F709B5" w:rsidRDefault="00F709B5" w:rsidP="00F709B5">
      <w:pPr>
        <w:spacing w:line="360" w:lineRule="auto"/>
        <w:jc w:val="center"/>
      </w:pPr>
      <w:r>
        <w:rPr>
          <w:noProof/>
        </w:rPr>
        <w:drawing>
          <wp:inline distT="0" distB="0" distL="0" distR="0" wp14:anchorId="565480BA" wp14:editId="02DB53A3">
            <wp:extent cx="4082681" cy="194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82681" cy="1944000"/>
                    </a:xfrm>
                    <a:prstGeom prst="rect">
                      <a:avLst/>
                    </a:prstGeom>
                  </pic:spPr>
                </pic:pic>
              </a:graphicData>
            </a:graphic>
          </wp:inline>
        </w:drawing>
      </w:r>
    </w:p>
    <w:p w:rsidR="00F709B5" w:rsidRPr="00F709B5" w:rsidRDefault="00F709B5" w:rsidP="00F709B5">
      <w:pPr>
        <w:spacing w:line="360" w:lineRule="auto"/>
        <w:jc w:val="center"/>
        <w:rPr>
          <w:rFonts w:ascii="Times New Roman" w:hAnsi="Times New Roman" w:cs="Times New Roman"/>
        </w:rPr>
      </w:pPr>
      <w:r w:rsidRPr="00F709B5">
        <w:rPr>
          <w:rFonts w:ascii="Times New Roman" w:hAnsi="Times New Roman" w:cs="Times New Roman"/>
        </w:rPr>
        <w:t>图</w:t>
      </w:r>
      <w:r w:rsidRPr="00F709B5">
        <w:rPr>
          <w:rFonts w:ascii="Times New Roman" w:hAnsi="Times New Roman" w:cs="Times New Roman"/>
        </w:rPr>
        <w:t>6-1</w:t>
      </w:r>
      <w:r>
        <w:rPr>
          <w:rFonts w:ascii="Times New Roman" w:hAnsi="Times New Roman" w:cs="Times New Roman"/>
        </w:rPr>
        <w:t xml:space="preserve"> </w:t>
      </w:r>
      <w:r w:rsidRPr="00F709B5">
        <w:rPr>
          <w:rFonts w:ascii="Times New Roman" w:hAnsi="Times New Roman" w:cs="Times New Roman"/>
        </w:rPr>
        <w:t xml:space="preserve"> </w:t>
      </w:r>
      <w:r w:rsidRPr="00F709B5">
        <w:rPr>
          <w:rFonts w:ascii="Times New Roman" w:hAnsi="Times New Roman" w:cs="Times New Roman"/>
        </w:rPr>
        <w:t>中国铝业三月份</w:t>
      </w:r>
      <w:r w:rsidRPr="00F709B5">
        <w:rPr>
          <w:rFonts w:ascii="Times New Roman" w:hAnsi="Times New Roman" w:cs="Times New Roman"/>
        </w:rPr>
        <w:t>K</w:t>
      </w:r>
      <w:r w:rsidRPr="00F709B5">
        <w:rPr>
          <w:rFonts w:ascii="Times New Roman" w:hAnsi="Times New Roman" w:cs="Times New Roman"/>
        </w:rPr>
        <w:t>线图</w:t>
      </w:r>
    </w:p>
    <w:p w:rsidR="00F709B5" w:rsidRPr="00F709B5" w:rsidRDefault="00F709B5" w:rsidP="00F709B5">
      <w:pPr>
        <w:spacing w:line="360" w:lineRule="auto"/>
        <w:jc w:val="right"/>
        <w:rPr>
          <w:sz w:val="20"/>
        </w:rPr>
      </w:pPr>
      <w:r w:rsidRPr="00F709B5">
        <w:rPr>
          <w:rFonts w:hint="eastAsia"/>
          <w:sz w:val="20"/>
        </w:rPr>
        <w:t>图片来源：东方财富网</w:t>
      </w:r>
    </w:p>
    <w:p w:rsidR="00F709B5" w:rsidRPr="00F709B5" w:rsidRDefault="00F709B5" w:rsidP="00F709B5">
      <w:pPr>
        <w:spacing w:line="360" w:lineRule="auto"/>
        <w:ind w:firstLineChars="200" w:firstLine="420"/>
        <w:rPr>
          <w:rFonts w:ascii="Times New Roman" w:hAnsi="Times New Roman" w:cs="Times New Roman"/>
          <w:color w:val="484848"/>
          <w:szCs w:val="21"/>
          <w:shd w:val="clear" w:color="auto" w:fill="FFFFFF"/>
        </w:rPr>
      </w:pPr>
      <w:r w:rsidRPr="00F709B5">
        <w:rPr>
          <w:rFonts w:ascii="Times New Roman" w:hAnsi="Times New Roman" w:cs="Times New Roman"/>
        </w:rPr>
        <w:t>中国铝业自</w:t>
      </w:r>
      <w:r w:rsidRPr="00F709B5">
        <w:rPr>
          <w:rFonts w:ascii="Times New Roman" w:hAnsi="Times New Roman" w:cs="Times New Roman"/>
        </w:rPr>
        <w:t>2017</w:t>
      </w:r>
      <w:r w:rsidRPr="00F709B5">
        <w:rPr>
          <w:rFonts w:ascii="Times New Roman" w:hAnsi="Times New Roman" w:cs="Times New Roman"/>
        </w:rPr>
        <w:t>年</w:t>
      </w:r>
      <w:r w:rsidRPr="00F709B5">
        <w:rPr>
          <w:rFonts w:ascii="Times New Roman" w:hAnsi="Times New Roman" w:cs="Times New Roman"/>
        </w:rPr>
        <w:t>9</w:t>
      </w:r>
      <w:r w:rsidRPr="00F709B5">
        <w:rPr>
          <w:rFonts w:ascii="Times New Roman" w:hAnsi="Times New Roman" w:cs="Times New Roman"/>
        </w:rPr>
        <w:t>月</w:t>
      </w:r>
      <w:r w:rsidRPr="00F709B5">
        <w:rPr>
          <w:rFonts w:ascii="Times New Roman" w:hAnsi="Times New Roman" w:cs="Times New Roman"/>
        </w:rPr>
        <w:t>11</w:t>
      </w:r>
      <w:r w:rsidRPr="00F709B5">
        <w:rPr>
          <w:rFonts w:ascii="Times New Roman" w:hAnsi="Times New Roman" w:cs="Times New Roman"/>
        </w:rPr>
        <w:t>日大幅下跌后，与</w:t>
      </w:r>
      <w:r w:rsidRPr="00F709B5">
        <w:rPr>
          <w:rFonts w:ascii="Times New Roman" w:hAnsi="Times New Roman" w:cs="Times New Roman"/>
        </w:rPr>
        <w:t>2018</w:t>
      </w:r>
      <w:r w:rsidRPr="00F709B5">
        <w:rPr>
          <w:rFonts w:ascii="Times New Roman" w:hAnsi="Times New Roman" w:cs="Times New Roman"/>
        </w:rPr>
        <w:t>年</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1</w:t>
      </w:r>
      <w:r w:rsidRPr="00F709B5">
        <w:rPr>
          <w:rFonts w:ascii="Times New Roman" w:hAnsi="Times New Roman" w:cs="Times New Roman"/>
        </w:rPr>
        <w:t>日起开始出现回升的势头，但是根据其</w:t>
      </w:r>
      <w:r w:rsidRPr="00F709B5">
        <w:rPr>
          <w:rFonts w:ascii="Times New Roman" w:hAnsi="Times New Roman" w:cs="Times New Roman"/>
        </w:rPr>
        <w:t>MACD</w:t>
      </w:r>
      <w:r w:rsidRPr="00F709B5">
        <w:rPr>
          <w:rFonts w:ascii="Times New Roman" w:hAnsi="Times New Roman" w:cs="Times New Roman"/>
        </w:rPr>
        <w:t>线可见，其股票价格整体在三月仍呈现下跌趋势。在三月，中国铝业共计发生两件大事，分别</w:t>
      </w:r>
      <w:proofErr w:type="gramStart"/>
      <w:r w:rsidR="00B74787">
        <w:rPr>
          <w:rFonts w:ascii="Times New Roman" w:hAnsi="Times New Roman" w:cs="Times New Roman" w:hint="eastAsia"/>
        </w:rPr>
        <w:t>为</w:t>
      </w:r>
      <w:r w:rsidRPr="00F709B5">
        <w:rPr>
          <w:rFonts w:ascii="Times New Roman" w:hAnsi="Times New Roman" w:cs="Times New Roman"/>
        </w:rPr>
        <w:t>发布</w:t>
      </w:r>
      <w:proofErr w:type="gramEnd"/>
      <w:r w:rsidRPr="00F709B5">
        <w:rPr>
          <w:rFonts w:ascii="Times New Roman" w:hAnsi="Times New Roman" w:cs="Times New Roman"/>
        </w:rPr>
        <w:t>2017</w:t>
      </w:r>
      <w:r w:rsidRPr="00F709B5">
        <w:rPr>
          <w:rFonts w:ascii="Times New Roman" w:hAnsi="Times New Roman" w:cs="Times New Roman"/>
        </w:rPr>
        <w:t>年年报和为五家公司进行融资担保，这五家公司皆为中国铝业集团的子公司：中铝集团山西交口兴华科技股份有限公司、中铝山西新材料有限公司、山东华宇合金材料有限公司、中铝宁夏能源集团有限公司和中国铝业香港有限公司。这些公告的发放分别位于</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23</w:t>
      </w:r>
      <w:r w:rsidRPr="00F709B5">
        <w:rPr>
          <w:rFonts w:ascii="Times New Roman" w:hAnsi="Times New Roman" w:cs="Times New Roman"/>
        </w:rPr>
        <w:t>日左右，因此在</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21</w:t>
      </w:r>
      <w:r w:rsidRPr="00F709B5">
        <w:rPr>
          <w:rFonts w:ascii="Times New Roman" w:hAnsi="Times New Roman" w:cs="Times New Roman"/>
        </w:rPr>
        <w:t>日及</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22</w:t>
      </w:r>
      <w:r w:rsidRPr="00F709B5">
        <w:rPr>
          <w:rFonts w:ascii="Times New Roman" w:hAnsi="Times New Roman" w:cs="Times New Roman"/>
        </w:rPr>
        <w:t>日，该股票股价上升。</w:t>
      </w:r>
    </w:p>
    <w:p w:rsidR="00F709B5" w:rsidRDefault="00F709B5" w:rsidP="00F709B5">
      <w:pPr>
        <w:spacing w:line="360" w:lineRule="auto"/>
        <w:jc w:val="center"/>
      </w:pPr>
      <w:r>
        <w:rPr>
          <w:noProof/>
        </w:rPr>
        <w:drawing>
          <wp:inline distT="0" distB="0" distL="0" distR="0" wp14:anchorId="3324558E" wp14:editId="13F2EB0D">
            <wp:extent cx="3338059" cy="235800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38059" cy="2358000"/>
                    </a:xfrm>
                    <a:prstGeom prst="rect">
                      <a:avLst/>
                    </a:prstGeom>
                  </pic:spPr>
                </pic:pic>
              </a:graphicData>
            </a:graphic>
          </wp:inline>
        </w:drawing>
      </w:r>
    </w:p>
    <w:p w:rsidR="00F709B5" w:rsidRPr="00F709B5" w:rsidRDefault="00F709B5" w:rsidP="00F709B5">
      <w:pPr>
        <w:spacing w:line="360" w:lineRule="auto"/>
        <w:jc w:val="center"/>
        <w:rPr>
          <w:rFonts w:ascii="Times New Roman" w:hAnsi="Times New Roman" w:cs="Times New Roman"/>
        </w:rPr>
      </w:pPr>
      <w:r w:rsidRPr="00F709B5">
        <w:rPr>
          <w:rFonts w:ascii="Times New Roman" w:hAnsi="Times New Roman" w:cs="Times New Roman"/>
        </w:rPr>
        <w:t>图</w:t>
      </w:r>
      <w:r w:rsidRPr="00F709B5">
        <w:rPr>
          <w:rFonts w:ascii="Times New Roman" w:hAnsi="Times New Roman" w:cs="Times New Roman"/>
        </w:rPr>
        <w:t xml:space="preserve">6-2 </w:t>
      </w:r>
      <w:r>
        <w:rPr>
          <w:rFonts w:ascii="Times New Roman" w:hAnsi="Times New Roman" w:cs="Times New Roman"/>
        </w:rPr>
        <w:t xml:space="preserve"> </w:t>
      </w:r>
      <w:r w:rsidRPr="00F709B5">
        <w:rPr>
          <w:rFonts w:ascii="Times New Roman" w:hAnsi="Times New Roman" w:cs="Times New Roman"/>
        </w:rPr>
        <w:t>有色金属市场表现图</w:t>
      </w:r>
    </w:p>
    <w:p w:rsidR="00F709B5" w:rsidRPr="00F709B5" w:rsidRDefault="00F709B5" w:rsidP="00F709B5">
      <w:pPr>
        <w:spacing w:line="360" w:lineRule="auto"/>
        <w:jc w:val="right"/>
        <w:rPr>
          <w:sz w:val="20"/>
        </w:rPr>
      </w:pPr>
      <w:r w:rsidRPr="00F709B5">
        <w:rPr>
          <w:rFonts w:hint="eastAsia"/>
          <w:sz w:val="20"/>
        </w:rPr>
        <w:t>图片来源：东方财富网</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但是结合有色金属行业的市场表现来看，中国铝业的表现还是较为出色的。在三月份，有色金属处于下跌状态，尽管中途下跌幅度变小，但最小跌幅仍为</w:t>
      </w:r>
      <w:r w:rsidRPr="00F709B5">
        <w:rPr>
          <w:rFonts w:ascii="Times New Roman" w:hAnsi="Times New Roman" w:cs="Times New Roman"/>
        </w:rPr>
        <w:t>-1.36%</w:t>
      </w:r>
      <w:r w:rsidRPr="00F709B5">
        <w:rPr>
          <w:rFonts w:ascii="Times New Roman" w:hAnsi="Times New Roman" w:cs="Times New Roman"/>
        </w:rPr>
        <w:t>，处于较高的水平，</w:t>
      </w:r>
      <w:r w:rsidRPr="00F709B5">
        <w:rPr>
          <w:rFonts w:ascii="Times New Roman" w:hAnsi="Times New Roman" w:cs="Times New Roman"/>
        </w:rPr>
        <w:lastRenderedPageBreak/>
        <w:t>最大跌幅为</w:t>
      </w:r>
      <w:r w:rsidRPr="00F709B5">
        <w:rPr>
          <w:rFonts w:ascii="Times New Roman" w:hAnsi="Times New Roman" w:cs="Times New Roman"/>
        </w:rPr>
        <w:t>-10.13%</w:t>
      </w:r>
      <w:r w:rsidRPr="00F709B5">
        <w:rPr>
          <w:rFonts w:ascii="Times New Roman" w:hAnsi="Times New Roman" w:cs="Times New Roman"/>
        </w:rPr>
        <w:t>，跌幅惊人，而中国铝业的波动</w:t>
      </w:r>
      <w:proofErr w:type="gramStart"/>
      <w:r w:rsidRPr="00F709B5">
        <w:rPr>
          <w:rFonts w:ascii="Times New Roman" w:hAnsi="Times New Roman" w:cs="Times New Roman"/>
        </w:rPr>
        <w:t>较整个</w:t>
      </w:r>
      <w:proofErr w:type="gramEnd"/>
      <w:r w:rsidRPr="00F709B5">
        <w:rPr>
          <w:rFonts w:ascii="Times New Roman" w:hAnsi="Times New Roman" w:cs="Times New Roman"/>
        </w:rPr>
        <w:t>行业来说较为稳定，其最大跌幅仅为</w:t>
      </w:r>
      <w:r w:rsidRPr="00F709B5">
        <w:rPr>
          <w:rFonts w:ascii="Times New Roman" w:hAnsi="Times New Roman" w:cs="Times New Roman"/>
        </w:rPr>
        <w:t>-3.6%</w:t>
      </w:r>
      <w:r w:rsidRPr="00F709B5">
        <w:rPr>
          <w:rFonts w:ascii="Times New Roman" w:hAnsi="Times New Roman" w:cs="Times New Roman"/>
        </w:rPr>
        <w:t>，且在整个行业处于下跌的状态下，仍可以有上涨的局面，可谓表现突出。同时，上证指数在今年三月也呈下跌趋势，</w:t>
      </w:r>
      <w:proofErr w:type="gramStart"/>
      <w:r w:rsidRPr="00F709B5">
        <w:rPr>
          <w:rFonts w:ascii="Times New Roman" w:hAnsi="Times New Roman" w:cs="Times New Roman"/>
        </w:rPr>
        <w:t>且趋势</w:t>
      </w:r>
      <w:proofErr w:type="gramEnd"/>
      <w:r w:rsidRPr="00F709B5">
        <w:rPr>
          <w:rFonts w:ascii="Times New Roman" w:hAnsi="Times New Roman" w:cs="Times New Roman"/>
        </w:rPr>
        <w:t>大于有色金属行业，因此整体来看，有色金属行业在整体上证</w:t>
      </w:r>
      <w:r w:rsidRPr="00F709B5">
        <w:rPr>
          <w:rFonts w:ascii="Times New Roman" w:hAnsi="Times New Roman" w:cs="Times New Roman"/>
        </w:rPr>
        <w:t>300</w:t>
      </w:r>
      <w:r w:rsidRPr="00F709B5">
        <w:rPr>
          <w:rFonts w:ascii="Times New Roman" w:hAnsi="Times New Roman" w:cs="Times New Roman"/>
        </w:rPr>
        <w:t>中表现良好，而中国铝业在有色金属行业中表现也较为突出。</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而从经济及政策环境分析方面，该只股票仍具有很大的潜力。受益于电解铝行业的供给</w:t>
      </w:r>
      <w:proofErr w:type="gramStart"/>
      <w:r w:rsidRPr="00F709B5">
        <w:rPr>
          <w:rFonts w:ascii="Times New Roman" w:hAnsi="Times New Roman" w:cs="Times New Roman"/>
        </w:rPr>
        <w:t>侧改革</w:t>
      </w:r>
      <w:proofErr w:type="gramEnd"/>
      <w:r w:rsidRPr="00F709B5">
        <w:rPr>
          <w:rFonts w:ascii="Times New Roman" w:hAnsi="Times New Roman" w:cs="Times New Roman"/>
        </w:rPr>
        <w:t>和宏观经济回暖趋势提振消费，相应的电解铝产品量价齐升，使得该集团的毛利率大幅上升，增加了</w:t>
      </w:r>
      <w:r w:rsidRPr="00F709B5">
        <w:rPr>
          <w:rFonts w:ascii="Times New Roman" w:hAnsi="Times New Roman" w:cs="Times New Roman"/>
        </w:rPr>
        <w:t>7.8</w:t>
      </w:r>
      <w:r w:rsidRPr="00F709B5">
        <w:rPr>
          <w:rFonts w:ascii="Times New Roman" w:hAnsi="Times New Roman" w:cs="Times New Roman"/>
        </w:rPr>
        <w:t>个百分点，盈利状况向好。从公司微观环境来看，公司进行债转股，有效的降低了杠杆，使得资本结构优化，增强了公司的持续盈利能力，情况向好。因此从宏观、中观和微观的方面来看，该只股票具有较好的发展潜力。</w:t>
      </w:r>
    </w:p>
    <w:p w:rsidR="00F709B5" w:rsidRDefault="00F709B5" w:rsidP="00F709B5">
      <w:pPr>
        <w:spacing w:line="360" w:lineRule="auto"/>
        <w:ind w:firstLineChars="200" w:firstLine="420"/>
      </w:pPr>
      <w:r w:rsidRPr="00F709B5">
        <w:rPr>
          <w:rFonts w:ascii="Times New Roman" w:hAnsi="Times New Roman" w:cs="Times New Roman"/>
        </w:rPr>
        <w:t>但是，仍需注意的是供给</w:t>
      </w:r>
      <w:proofErr w:type="gramStart"/>
      <w:r w:rsidRPr="00F709B5">
        <w:rPr>
          <w:rFonts w:ascii="Times New Roman" w:hAnsi="Times New Roman" w:cs="Times New Roman"/>
        </w:rPr>
        <w:t>侧改革</w:t>
      </w:r>
      <w:proofErr w:type="gramEnd"/>
      <w:r w:rsidRPr="00F709B5">
        <w:rPr>
          <w:rFonts w:ascii="Times New Roman" w:hAnsi="Times New Roman" w:cs="Times New Roman"/>
        </w:rPr>
        <w:t>虽然使量价齐升，但是其产能天花板也呈明显状态，产量增速将会下降，相关产品价格将会大幅下跌，行业拐点已至。其次，下游需求不及预期和原料成本大幅提升也是隐患。因此，其虽有投资价值，但仍需谨慎观望。</w:t>
      </w:r>
      <w:r>
        <w:rPr>
          <w:rStyle w:val="ae"/>
        </w:rPr>
        <w:footnoteReference w:id="1"/>
      </w:r>
    </w:p>
    <w:p w:rsidR="00F709B5" w:rsidRPr="00F709B5" w:rsidRDefault="00F709B5" w:rsidP="00F709B5">
      <w:pPr>
        <w:spacing w:line="360" w:lineRule="auto"/>
        <w:rPr>
          <w:rFonts w:ascii="Times New Roman" w:hAnsi="Times New Roman" w:cs="Times New Roman"/>
          <w:b/>
        </w:rPr>
      </w:pPr>
      <w:r w:rsidRPr="00F709B5">
        <w:rPr>
          <w:rFonts w:ascii="Times New Roman" w:hAnsi="Times New Roman" w:cs="Times New Roman"/>
          <w:b/>
        </w:rPr>
        <w:t>2</w:t>
      </w:r>
      <w:r w:rsidRPr="00F709B5">
        <w:rPr>
          <w:rFonts w:ascii="Times New Roman" w:hAnsi="Times New Roman" w:cs="Times New Roman"/>
          <w:b/>
        </w:rPr>
        <w:t>．中电电机（</w:t>
      </w:r>
      <w:r w:rsidRPr="00F709B5">
        <w:rPr>
          <w:rFonts w:ascii="Times New Roman" w:hAnsi="Times New Roman" w:cs="Times New Roman"/>
          <w:b/>
        </w:rPr>
        <w:t>603988</w:t>
      </w:r>
      <w:r w:rsidRPr="00F709B5">
        <w:rPr>
          <w:rFonts w:ascii="Times New Roman" w:hAnsi="Times New Roman" w:cs="Times New Roman"/>
          <w:b/>
        </w:rPr>
        <w:t>）</w:t>
      </w:r>
    </w:p>
    <w:p w:rsidR="00F709B5" w:rsidRDefault="00F709B5" w:rsidP="00F709B5">
      <w:pPr>
        <w:spacing w:line="360" w:lineRule="auto"/>
        <w:jc w:val="center"/>
      </w:pPr>
      <w:r>
        <w:rPr>
          <w:noProof/>
        </w:rPr>
        <w:drawing>
          <wp:inline distT="0" distB="0" distL="0" distR="0" wp14:anchorId="6930209F" wp14:editId="766057DD">
            <wp:extent cx="5181532" cy="252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81532" cy="2520000"/>
                    </a:xfrm>
                    <a:prstGeom prst="rect">
                      <a:avLst/>
                    </a:prstGeom>
                  </pic:spPr>
                </pic:pic>
              </a:graphicData>
            </a:graphic>
          </wp:inline>
        </w:drawing>
      </w:r>
    </w:p>
    <w:p w:rsidR="00F709B5" w:rsidRPr="00F709B5" w:rsidRDefault="00F709B5" w:rsidP="00F709B5">
      <w:pPr>
        <w:spacing w:line="360" w:lineRule="auto"/>
        <w:jc w:val="center"/>
        <w:rPr>
          <w:rFonts w:ascii="Times New Roman" w:hAnsi="Times New Roman" w:cs="Times New Roman"/>
        </w:rPr>
      </w:pPr>
      <w:r w:rsidRPr="00F709B5">
        <w:rPr>
          <w:rFonts w:ascii="Times New Roman" w:hAnsi="Times New Roman" w:cs="Times New Roman"/>
        </w:rPr>
        <w:t>图</w:t>
      </w:r>
      <w:r w:rsidRPr="00F709B5">
        <w:rPr>
          <w:rFonts w:ascii="Times New Roman" w:hAnsi="Times New Roman" w:cs="Times New Roman"/>
        </w:rPr>
        <w:t xml:space="preserve">6-3 </w:t>
      </w:r>
      <w:r>
        <w:rPr>
          <w:rFonts w:ascii="Times New Roman" w:hAnsi="Times New Roman" w:cs="Times New Roman"/>
        </w:rPr>
        <w:t xml:space="preserve"> </w:t>
      </w:r>
      <w:r w:rsidRPr="00F709B5">
        <w:rPr>
          <w:rFonts w:ascii="Times New Roman" w:hAnsi="Times New Roman" w:cs="Times New Roman"/>
        </w:rPr>
        <w:t>中电电机三月份</w:t>
      </w:r>
      <w:r w:rsidRPr="00F709B5">
        <w:rPr>
          <w:rFonts w:ascii="Times New Roman" w:hAnsi="Times New Roman" w:cs="Times New Roman"/>
        </w:rPr>
        <w:t>K</w:t>
      </w:r>
      <w:r w:rsidRPr="00F709B5">
        <w:rPr>
          <w:rFonts w:ascii="Times New Roman" w:hAnsi="Times New Roman" w:cs="Times New Roman"/>
        </w:rPr>
        <w:t>线图</w:t>
      </w:r>
    </w:p>
    <w:p w:rsidR="00F709B5" w:rsidRPr="00F709B5" w:rsidRDefault="00F709B5" w:rsidP="00F709B5">
      <w:pPr>
        <w:spacing w:line="360" w:lineRule="auto"/>
        <w:jc w:val="right"/>
        <w:rPr>
          <w:rFonts w:ascii="Times New Roman" w:hAnsi="Times New Roman" w:cs="Times New Roman"/>
          <w:sz w:val="20"/>
        </w:rPr>
      </w:pPr>
      <w:r w:rsidRPr="00F709B5">
        <w:rPr>
          <w:rFonts w:ascii="Times New Roman" w:hAnsi="Times New Roman" w:cs="Times New Roman"/>
          <w:sz w:val="20"/>
        </w:rPr>
        <w:t>图片来源：东方财富网</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中电电机股票价格在</w:t>
      </w:r>
      <w:r w:rsidRPr="00F709B5">
        <w:rPr>
          <w:rFonts w:ascii="Times New Roman" w:hAnsi="Times New Roman" w:cs="Times New Roman"/>
        </w:rPr>
        <w:t>2018</w:t>
      </w:r>
      <w:r w:rsidRPr="00F709B5">
        <w:rPr>
          <w:rFonts w:ascii="Times New Roman" w:hAnsi="Times New Roman" w:cs="Times New Roman"/>
        </w:rPr>
        <w:t>年</w:t>
      </w:r>
      <w:r w:rsidRPr="00F709B5">
        <w:rPr>
          <w:rFonts w:ascii="Times New Roman" w:hAnsi="Times New Roman" w:cs="Times New Roman"/>
        </w:rPr>
        <w:t>3</w:t>
      </w:r>
      <w:r w:rsidRPr="00F709B5">
        <w:rPr>
          <w:rFonts w:ascii="Times New Roman" w:hAnsi="Times New Roman" w:cs="Times New Roman"/>
        </w:rPr>
        <w:t>月呈现先涨后跌再小幅上涨的趋势，这主要是受中电电机在</w:t>
      </w:r>
      <w:r w:rsidRPr="00F709B5">
        <w:rPr>
          <w:rFonts w:ascii="Times New Roman" w:hAnsi="Times New Roman" w:cs="Times New Roman"/>
        </w:rPr>
        <w:t>3</w:t>
      </w:r>
      <w:r w:rsidRPr="00F709B5">
        <w:rPr>
          <w:rFonts w:ascii="Times New Roman" w:hAnsi="Times New Roman" w:cs="Times New Roman"/>
        </w:rPr>
        <w:t>月公布的四份重大公告的影响。</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从图中我们可以看到，</w:t>
      </w:r>
      <w:r w:rsidRPr="00F709B5">
        <w:rPr>
          <w:rFonts w:ascii="Times New Roman" w:hAnsi="Times New Roman" w:cs="Times New Roman"/>
        </w:rPr>
        <w:t>2018</w:t>
      </w:r>
      <w:r w:rsidRPr="00F709B5">
        <w:rPr>
          <w:rFonts w:ascii="Times New Roman" w:hAnsi="Times New Roman" w:cs="Times New Roman"/>
        </w:rPr>
        <w:t>年</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2</w:t>
      </w:r>
      <w:r w:rsidRPr="00F709B5">
        <w:rPr>
          <w:rFonts w:ascii="Times New Roman" w:hAnsi="Times New Roman" w:cs="Times New Roman"/>
        </w:rPr>
        <w:t>日该股票便呈现上涨趋势，（即二月后的第二根阳线）这是由于该公司由于进行重大资产重组于</w:t>
      </w:r>
      <w:r w:rsidRPr="00F709B5">
        <w:rPr>
          <w:rFonts w:ascii="Times New Roman" w:hAnsi="Times New Roman" w:cs="Times New Roman"/>
        </w:rPr>
        <w:t>2</w:t>
      </w:r>
      <w:r w:rsidRPr="00F709B5">
        <w:rPr>
          <w:rFonts w:ascii="Times New Roman" w:hAnsi="Times New Roman" w:cs="Times New Roman"/>
        </w:rPr>
        <w:t>月停牌，而</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2</w:t>
      </w:r>
      <w:r w:rsidRPr="00F709B5">
        <w:rPr>
          <w:rFonts w:ascii="Times New Roman" w:hAnsi="Times New Roman" w:cs="Times New Roman"/>
        </w:rPr>
        <w:t>日为该只股票复盘的第一天，因此迎来了一波上涨行情。而由于复盘之后股民热情过度高涨，该公司在</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6</w:t>
      </w:r>
      <w:r w:rsidRPr="00F709B5">
        <w:rPr>
          <w:rFonts w:ascii="Times New Roman" w:hAnsi="Times New Roman" w:cs="Times New Roman"/>
        </w:rPr>
        <w:t>日发</w:t>
      </w:r>
      <w:r>
        <w:rPr>
          <w:rFonts w:hint="eastAsia"/>
        </w:rPr>
        <w:t>布</w:t>
      </w:r>
      <w:r w:rsidRPr="00F709B5">
        <w:rPr>
          <w:rFonts w:ascii="Times New Roman" w:hAnsi="Times New Roman" w:cs="Times New Roman"/>
        </w:rPr>
        <w:lastRenderedPageBreak/>
        <w:t>了股票交易异常波动的公告，经核查与公司内部无关，仅为投资者个人行为，因此发布公告提示投资者理性投资。由此</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6</w:t>
      </w:r>
      <w:r w:rsidRPr="00F709B5">
        <w:rPr>
          <w:rFonts w:ascii="Times New Roman" w:hAnsi="Times New Roman" w:cs="Times New Roman"/>
        </w:rPr>
        <w:t>日股价出现小幅的震动，不过接下来几日该股票仍处于上升趋势。然而，自</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9</w:t>
      </w:r>
      <w:r w:rsidRPr="00F709B5">
        <w:rPr>
          <w:rFonts w:ascii="Times New Roman" w:hAnsi="Times New Roman" w:cs="Times New Roman"/>
        </w:rPr>
        <w:t>日公司公布持股</w:t>
      </w:r>
      <w:r w:rsidRPr="00F709B5">
        <w:rPr>
          <w:rFonts w:ascii="Times New Roman" w:hAnsi="Times New Roman" w:cs="Times New Roman"/>
        </w:rPr>
        <w:t>5%</w:t>
      </w:r>
      <w:r w:rsidRPr="00F709B5">
        <w:rPr>
          <w:rFonts w:ascii="Times New Roman" w:hAnsi="Times New Roman" w:cs="Times New Roman"/>
        </w:rPr>
        <w:t>以上股东减持股</w:t>
      </w:r>
      <w:proofErr w:type="gramStart"/>
      <w:r w:rsidRPr="00F709B5">
        <w:rPr>
          <w:rFonts w:ascii="Times New Roman" w:hAnsi="Times New Roman" w:cs="Times New Roman"/>
        </w:rPr>
        <w:t>份计划</w:t>
      </w:r>
      <w:proofErr w:type="gramEnd"/>
      <w:r w:rsidRPr="00F709B5">
        <w:rPr>
          <w:rFonts w:ascii="Times New Roman" w:hAnsi="Times New Roman" w:cs="Times New Roman"/>
        </w:rPr>
        <w:t>书后，股价开始呈现下降甚至大幅下跌的状态。随后，</w:t>
      </w:r>
      <w:r w:rsidRPr="00F709B5">
        <w:rPr>
          <w:rFonts w:ascii="Times New Roman" w:hAnsi="Times New Roman" w:cs="Times New Roman"/>
        </w:rPr>
        <w:t>3</w:t>
      </w:r>
      <w:r w:rsidRPr="00F709B5">
        <w:rPr>
          <w:rFonts w:ascii="Times New Roman" w:hAnsi="Times New Roman" w:cs="Times New Roman"/>
        </w:rPr>
        <w:t>月</w:t>
      </w:r>
      <w:r w:rsidRPr="00F709B5">
        <w:rPr>
          <w:rFonts w:ascii="Times New Roman" w:hAnsi="Times New Roman" w:cs="Times New Roman"/>
        </w:rPr>
        <w:t>23</w:t>
      </w:r>
      <w:r w:rsidRPr="00F709B5">
        <w:rPr>
          <w:rFonts w:ascii="Times New Roman" w:hAnsi="Times New Roman" w:cs="Times New Roman"/>
        </w:rPr>
        <w:t>日公司发布的关于闲置募集基金进行现金管理的公告使股价逐渐回暖，呈上升趋势。由此可见，该公司股票受其公司经营策略的影响较为严重。因此，其波动率和风险值较高</w:t>
      </w:r>
      <w:r>
        <w:rPr>
          <w:rFonts w:ascii="Times New Roman" w:hAnsi="Times New Roman" w:cs="Times New Roman" w:hint="eastAsia"/>
        </w:rPr>
        <w:t>。</w:t>
      </w:r>
    </w:p>
    <w:p w:rsidR="00F709B5" w:rsidRDefault="00F709B5" w:rsidP="00F709B5">
      <w:pPr>
        <w:spacing w:line="360" w:lineRule="auto"/>
        <w:jc w:val="center"/>
      </w:pPr>
      <w:r>
        <w:rPr>
          <w:noProof/>
        </w:rPr>
        <w:drawing>
          <wp:inline distT="0" distB="0" distL="0" distR="0" wp14:anchorId="6917ACE6" wp14:editId="4C50D7E2">
            <wp:extent cx="4629432" cy="345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9432" cy="3456000"/>
                    </a:xfrm>
                    <a:prstGeom prst="rect">
                      <a:avLst/>
                    </a:prstGeom>
                  </pic:spPr>
                </pic:pic>
              </a:graphicData>
            </a:graphic>
          </wp:inline>
        </w:drawing>
      </w:r>
    </w:p>
    <w:p w:rsidR="00F709B5" w:rsidRPr="00F709B5" w:rsidRDefault="00F709B5" w:rsidP="00F709B5">
      <w:pPr>
        <w:spacing w:line="360" w:lineRule="auto"/>
        <w:jc w:val="center"/>
        <w:rPr>
          <w:rFonts w:ascii="Times New Roman" w:hAnsi="Times New Roman" w:cs="Times New Roman"/>
        </w:rPr>
      </w:pPr>
      <w:r w:rsidRPr="00F709B5">
        <w:rPr>
          <w:rFonts w:ascii="Times New Roman" w:hAnsi="Times New Roman" w:cs="Times New Roman"/>
        </w:rPr>
        <w:t>图</w:t>
      </w:r>
      <w:r w:rsidRPr="00F709B5">
        <w:rPr>
          <w:rFonts w:ascii="Times New Roman" w:hAnsi="Times New Roman" w:cs="Times New Roman"/>
        </w:rPr>
        <w:t xml:space="preserve">6-4 </w:t>
      </w:r>
      <w:r>
        <w:rPr>
          <w:rFonts w:ascii="Times New Roman" w:hAnsi="Times New Roman" w:cs="Times New Roman"/>
        </w:rPr>
        <w:t xml:space="preserve"> </w:t>
      </w:r>
      <w:r w:rsidRPr="00F709B5">
        <w:rPr>
          <w:rFonts w:ascii="Times New Roman" w:hAnsi="Times New Roman" w:cs="Times New Roman"/>
        </w:rPr>
        <w:t>机械行业板块市场表现图</w:t>
      </w:r>
    </w:p>
    <w:p w:rsidR="00F709B5" w:rsidRPr="00F709B5" w:rsidRDefault="00F709B5" w:rsidP="00F709B5">
      <w:pPr>
        <w:spacing w:line="360" w:lineRule="auto"/>
        <w:jc w:val="right"/>
        <w:rPr>
          <w:rFonts w:ascii="Times New Roman" w:hAnsi="Times New Roman" w:cs="Times New Roman"/>
          <w:sz w:val="20"/>
        </w:rPr>
      </w:pPr>
      <w:r w:rsidRPr="00F709B5">
        <w:rPr>
          <w:rFonts w:ascii="Times New Roman" w:hAnsi="Times New Roman" w:cs="Times New Roman"/>
          <w:sz w:val="20"/>
        </w:rPr>
        <w:t>图片来源：东方财富网</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结合机械行业整体来看，中电电机表现良好。这是由于原本</w:t>
      </w:r>
      <w:r w:rsidRPr="00F709B5">
        <w:rPr>
          <w:rFonts w:ascii="Times New Roman" w:hAnsi="Times New Roman" w:cs="Times New Roman"/>
        </w:rPr>
        <w:t>3</w:t>
      </w:r>
      <w:r w:rsidRPr="00F709B5">
        <w:rPr>
          <w:rFonts w:ascii="Times New Roman" w:hAnsi="Times New Roman" w:cs="Times New Roman"/>
        </w:rPr>
        <w:t>月机械行业就已经迎来了一波好行情，整个机械板块都处于上涨趋势。因此，中电电机股票上涨也属正常，但是在三月</w:t>
      </w:r>
      <w:proofErr w:type="gramStart"/>
      <w:r w:rsidRPr="00F709B5">
        <w:rPr>
          <w:rFonts w:ascii="Times New Roman" w:hAnsi="Times New Roman" w:cs="Times New Roman"/>
        </w:rPr>
        <w:t>初中电电机</w:t>
      </w:r>
      <w:proofErr w:type="gramEnd"/>
      <w:r w:rsidRPr="00F709B5">
        <w:rPr>
          <w:rFonts w:ascii="Times New Roman" w:hAnsi="Times New Roman" w:cs="Times New Roman"/>
        </w:rPr>
        <w:t>曾迎来两次涨停板，</w:t>
      </w:r>
      <w:r w:rsidRPr="00F709B5">
        <w:rPr>
          <w:rFonts w:ascii="Times New Roman" w:hAnsi="Times New Roman" w:cs="Times New Roman"/>
        </w:rPr>
        <w:t>10%</w:t>
      </w:r>
      <w:r w:rsidRPr="00F709B5">
        <w:rPr>
          <w:rFonts w:ascii="Times New Roman" w:hAnsi="Times New Roman" w:cs="Times New Roman"/>
        </w:rPr>
        <w:t>的高涨幅也是让人连连惊叹。因此综合来说，尽管中旬时期该股票有过震荡及下跌，但是整体上表现良好，较为突出。</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结合宏观环境来看，由于国务院常务会议规定，自</w:t>
      </w:r>
      <w:r w:rsidRPr="00F709B5">
        <w:rPr>
          <w:rFonts w:ascii="Times New Roman" w:hAnsi="Times New Roman" w:cs="Times New Roman"/>
        </w:rPr>
        <w:t>2018</w:t>
      </w:r>
      <w:r w:rsidRPr="00F709B5">
        <w:rPr>
          <w:rFonts w:ascii="Times New Roman" w:hAnsi="Times New Roman" w:cs="Times New Roman"/>
        </w:rPr>
        <w:t>年</w:t>
      </w:r>
      <w:r w:rsidRPr="00F709B5">
        <w:rPr>
          <w:rFonts w:ascii="Times New Roman" w:hAnsi="Times New Roman" w:cs="Times New Roman"/>
        </w:rPr>
        <w:t>5</w:t>
      </w:r>
      <w:r w:rsidRPr="00F709B5">
        <w:rPr>
          <w:rFonts w:ascii="Times New Roman" w:hAnsi="Times New Roman" w:cs="Times New Roman"/>
        </w:rPr>
        <w:t>月</w:t>
      </w:r>
      <w:r w:rsidRPr="00F709B5">
        <w:rPr>
          <w:rFonts w:ascii="Times New Roman" w:hAnsi="Times New Roman" w:cs="Times New Roman"/>
        </w:rPr>
        <w:t>1</w:t>
      </w:r>
      <w:r w:rsidRPr="00F709B5">
        <w:rPr>
          <w:rFonts w:ascii="Times New Roman" w:hAnsi="Times New Roman" w:cs="Times New Roman"/>
        </w:rPr>
        <w:t>日起，该行业的增值税将由</w:t>
      </w:r>
      <w:r w:rsidRPr="00F709B5">
        <w:rPr>
          <w:rFonts w:ascii="Times New Roman" w:hAnsi="Times New Roman" w:cs="Times New Roman"/>
        </w:rPr>
        <w:t>17&amp;</w:t>
      </w:r>
      <w:r w:rsidRPr="00F709B5">
        <w:rPr>
          <w:rFonts w:ascii="Times New Roman" w:hAnsi="Times New Roman" w:cs="Times New Roman"/>
        </w:rPr>
        <w:t>降至</w:t>
      </w:r>
      <w:r w:rsidRPr="00F709B5">
        <w:rPr>
          <w:rFonts w:ascii="Times New Roman" w:hAnsi="Times New Roman" w:cs="Times New Roman"/>
        </w:rPr>
        <w:t>16%</w:t>
      </w:r>
      <w:r w:rsidRPr="00F709B5">
        <w:rPr>
          <w:rFonts w:ascii="Times New Roman" w:hAnsi="Times New Roman" w:cs="Times New Roman"/>
        </w:rPr>
        <w:t>，这一消息让市场对于机械行业充满憧憬，市场氛围良好。但是同时需要注意的是，这一政策可能对利润表不产生直接影响，这是由于产品含税价随税率同步下调，企业毛利率和净利率可能不发生变化。另外结合国际局势来看，尽管中国旨在对制造业转型升级，扶持高端制造业，以期提高综合国力，但是随着中美贸易的摩擦升级，产品出口及技术引进壁垒可能会降低国内制造业的升级速度，局势仍然需进一步观察。</w:t>
      </w:r>
    </w:p>
    <w:p w:rsidR="00F709B5" w:rsidRPr="001422AE" w:rsidRDefault="00F709B5" w:rsidP="00F709B5">
      <w:pPr>
        <w:spacing w:line="360" w:lineRule="auto"/>
        <w:ind w:firstLineChars="200" w:firstLine="420"/>
      </w:pPr>
      <w:r>
        <w:rPr>
          <w:rFonts w:hint="eastAsia"/>
        </w:rPr>
        <w:lastRenderedPageBreak/>
        <w:t>综合来说，该支股票发展潜力较好，具有投资价值，不过仍应结合宏观环境审慎投资。</w:t>
      </w:r>
    </w:p>
    <w:p w:rsidR="00F709B5" w:rsidRPr="00F709B5" w:rsidRDefault="00F709B5" w:rsidP="00F709B5">
      <w:pPr>
        <w:spacing w:line="360" w:lineRule="auto"/>
        <w:rPr>
          <w:rFonts w:ascii="Times New Roman" w:hAnsi="Times New Roman" w:cs="Times New Roman"/>
          <w:b/>
          <w:sz w:val="24"/>
        </w:rPr>
      </w:pPr>
      <w:r w:rsidRPr="00F709B5">
        <w:rPr>
          <w:rFonts w:ascii="Times New Roman" w:hAnsi="Times New Roman" w:cs="Times New Roman"/>
          <w:b/>
        </w:rPr>
        <w:t>3</w:t>
      </w:r>
      <w:r w:rsidRPr="00F709B5">
        <w:rPr>
          <w:rFonts w:ascii="Times New Roman" w:hAnsi="Times New Roman" w:cs="Times New Roman"/>
          <w:b/>
        </w:rPr>
        <w:t>．宁波精达（</w:t>
      </w:r>
      <w:r w:rsidRPr="00F709B5">
        <w:rPr>
          <w:rFonts w:ascii="Times New Roman" w:hAnsi="Times New Roman" w:cs="Times New Roman"/>
          <w:b/>
        </w:rPr>
        <w:t>603088</w:t>
      </w:r>
      <w:r w:rsidRPr="00F709B5">
        <w:rPr>
          <w:rFonts w:ascii="Times New Roman" w:hAnsi="Times New Roman" w:cs="Times New Roman"/>
          <w:b/>
        </w:rPr>
        <w:t>）</w:t>
      </w:r>
    </w:p>
    <w:p w:rsidR="00F709B5" w:rsidRDefault="00F709B5" w:rsidP="00F709B5">
      <w:pPr>
        <w:spacing w:line="360" w:lineRule="auto"/>
      </w:pPr>
      <w:r>
        <w:rPr>
          <w:noProof/>
        </w:rPr>
        <w:drawing>
          <wp:inline distT="0" distB="0" distL="0" distR="0" wp14:anchorId="5476DB42" wp14:editId="6EC64ADD">
            <wp:extent cx="5274310" cy="2490646"/>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490646"/>
                    </a:xfrm>
                    <a:prstGeom prst="rect">
                      <a:avLst/>
                    </a:prstGeom>
                  </pic:spPr>
                </pic:pic>
              </a:graphicData>
            </a:graphic>
          </wp:inline>
        </w:drawing>
      </w:r>
    </w:p>
    <w:p w:rsidR="00F709B5" w:rsidRPr="00F709B5" w:rsidRDefault="00F709B5" w:rsidP="00F709B5">
      <w:pPr>
        <w:spacing w:line="360" w:lineRule="auto"/>
        <w:jc w:val="center"/>
        <w:rPr>
          <w:rFonts w:ascii="Times New Roman" w:hAnsi="Times New Roman" w:cs="Times New Roman"/>
        </w:rPr>
      </w:pPr>
      <w:r w:rsidRPr="00F709B5">
        <w:rPr>
          <w:rFonts w:ascii="Times New Roman" w:hAnsi="Times New Roman" w:cs="Times New Roman"/>
        </w:rPr>
        <w:t>图</w:t>
      </w:r>
      <w:r w:rsidRPr="00F709B5">
        <w:rPr>
          <w:rFonts w:ascii="Times New Roman" w:hAnsi="Times New Roman" w:cs="Times New Roman"/>
        </w:rPr>
        <w:t>6-5</w:t>
      </w:r>
      <w:r>
        <w:rPr>
          <w:rFonts w:ascii="Times New Roman" w:hAnsi="Times New Roman" w:cs="Times New Roman"/>
        </w:rPr>
        <w:t xml:space="preserve"> </w:t>
      </w:r>
      <w:r w:rsidRPr="00F709B5">
        <w:rPr>
          <w:rFonts w:ascii="Times New Roman" w:hAnsi="Times New Roman" w:cs="Times New Roman"/>
        </w:rPr>
        <w:t xml:space="preserve"> </w:t>
      </w:r>
      <w:proofErr w:type="gramStart"/>
      <w:r w:rsidRPr="00F709B5">
        <w:rPr>
          <w:rFonts w:ascii="Times New Roman" w:hAnsi="Times New Roman" w:cs="Times New Roman"/>
        </w:rPr>
        <w:t>宁波精达三月份</w:t>
      </w:r>
      <w:proofErr w:type="gramEnd"/>
      <w:r w:rsidRPr="00F709B5">
        <w:rPr>
          <w:rFonts w:ascii="Times New Roman" w:hAnsi="Times New Roman" w:cs="Times New Roman"/>
        </w:rPr>
        <w:t>K</w:t>
      </w:r>
      <w:r w:rsidRPr="00F709B5">
        <w:rPr>
          <w:rFonts w:ascii="Times New Roman" w:hAnsi="Times New Roman" w:cs="Times New Roman"/>
        </w:rPr>
        <w:t>线图</w:t>
      </w:r>
    </w:p>
    <w:p w:rsidR="00F709B5" w:rsidRPr="00F709B5" w:rsidRDefault="00F709B5" w:rsidP="00F709B5">
      <w:pPr>
        <w:spacing w:line="360" w:lineRule="auto"/>
        <w:jc w:val="right"/>
        <w:rPr>
          <w:rFonts w:ascii="Times New Roman" w:hAnsi="Times New Roman" w:cs="Times New Roman"/>
          <w:sz w:val="20"/>
        </w:rPr>
      </w:pPr>
      <w:r w:rsidRPr="00F709B5">
        <w:rPr>
          <w:rFonts w:ascii="Times New Roman" w:hAnsi="Times New Roman" w:cs="Times New Roman"/>
          <w:sz w:val="20"/>
        </w:rPr>
        <w:t>图片来源：东方财富网</w:t>
      </w:r>
    </w:p>
    <w:p w:rsidR="00F709B5" w:rsidRPr="00F709B5" w:rsidRDefault="00F709B5" w:rsidP="00F709B5">
      <w:pPr>
        <w:spacing w:line="360" w:lineRule="auto"/>
        <w:ind w:firstLineChars="200" w:firstLine="420"/>
        <w:rPr>
          <w:rFonts w:ascii="Times New Roman" w:hAnsi="Times New Roman" w:cs="Times New Roman"/>
        </w:rPr>
      </w:pPr>
      <w:proofErr w:type="gramStart"/>
      <w:r w:rsidRPr="00F709B5">
        <w:rPr>
          <w:rFonts w:ascii="Times New Roman" w:hAnsi="Times New Roman" w:cs="Times New Roman"/>
        </w:rPr>
        <w:t>宁波精达在</w:t>
      </w:r>
      <w:proofErr w:type="gramEnd"/>
      <w:r w:rsidRPr="00F709B5">
        <w:rPr>
          <w:rFonts w:ascii="Times New Roman" w:hAnsi="Times New Roman" w:cs="Times New Roman"/>
        </w:rPr>
        <w:t>3</w:t>
      </w:r>
      <w:r w:rsidRPr="00F709B5">
        <w:rPr>
          <w:rFonts w:ascii="Times New Roman" w:hAnsi="Times New Roman" w:cs="Times New Roman"/>
        </w:rPr>
        <w:t>月份的价格走势为先涨后跌，但是整体上涨跌幅度都较为平缓。最高涨幅为</w:t>
      </w:r>
      <w:r w:rsidRPr="00F709B5">
        <w:rPr>
          <w:rFonts w:ascii="Times New Roman" w:hAnsi="Times New Roman" w:cs="Times New Roman"/>
        </w:rPr>
        <w:t>3.26%</w:t>
      </w:r>
      <w:r w:rsidRPr="00F709B5">
        <w:rPr>
          <w:rFonts w:ascii="Times New Roman" w:hAnsi="Times New Roman" w:cs="Times New Roman"/>
        </w:rPr>
        <w:t>，最低跌幅为</w:t>
      </w:r>
      <w:r w:rsidRPr="00F709B5">
        <w:rPr>
          <w:rFonts w:ascii="Times New Roman" w:hAnsi="Times New Roman" w:cs="Times New Roman"/>
        </w:rPr>
        <w:t>-4.97%</w:t>
      </w:r>
      <w:r w:rsidRPr="00F709B5">
        <w:rPr>
          <w:rFonts w:ascii="Times New Roman" w:hAnsi="Times New Roman" w:cs="Times New Roman"/>
        </w:rPr>
        <w:t>，其余交易日涨跌</w:t>
      </w:r>
      <w:proofErr w:type="gramStart"/>
      <w:r w:rsidRPr="00F709B5">
        <w:rPr>
          <w:rFonts w:ascii="Times New Roman" w:hAnsi="Times New Roman" w:cs="Times New Roman"/>
        </w:rPr>
        <w:t>幅几乎</w:t>
      </w:r>
      <w:proofErr w:type="gramEnd"/>
      <w:r w:rsidRPr="00F709B5">
        <w:rPr>
          <w:rFonts w:ascii="Times New Roman" w:hAnsi="Times New Roman" w:cs="Times New Roman"/>
        </w:rPr>
        <w:t>保持在</w:t>
      </w:r>
      <w:r w:rsidRPr="00F709B5">
        <w:rPr>
          <w:rFonts w:ascii="Times New Roman" w:hAnsi="Times New Roman" w:cs="Times New Roman"/>
        </w:rPr>
        <w:t>2%</w:t>
      </w:r>
      <w:r w:rsidRPr="00F709B5">
        <w:rPr>
          <w:rFonts w:ascii="Times New Roman" w:hAnsi="Times New Roman" w:cs="Times New Roman"/>
        </w:rPr>
        <w:t>以内，波动较小，因此其波动率较小，风险也较小。其在</w:t>
      </w:r>
      <w:r w:rsidRPr="00F709B5">
        <w:rPr>
          <w:rFonts w:ascii="Times New Roman" w:hAnsi="Times New Roman" w:cs="Times New Roman"/>
        </w:rPr>
        <w:t>3</w:t>
      </w:r>
      <w:r w:rsidRPr="00F709B5">
        <w:rPr>
          <w:rFonts w:ascii="Times New Roman" w:hAnsi="Times New Roman" w:cs="Times New Roman"/>
        </w:rPr>
        <w:t>月只于</w:t>
      </w:r>
      <w:r w:rsidRPr="00F709B5">
        <w:rPr>
          <w:rFonts w:ascii="Times New Roman" w:hAnsi="Times New Roman" w:cs="Times New Roman"/>
        </w:rPr>
        <w:t>16</w:t>
      </w:r>
      <w:r w:rsidRPr="00F709B5">
        <w:rPr>
          <w:rFonts w:ascii="Times New Roman" w:hAnsi="Times New Roman" w:cs="Times New Roman"/>
        </w:rPr>
        <w:t>日公布了一条公告，即</w:t>
      </w:r>
      <w:r w:rsidRPr="00F709B5">
        <w:rPr>
          <w:rFonts w:ascii="Times New Roman" w:hAnsi="Times New Roman" w:cs="Times New Roman"/>
        </w:rPr>
        <w:t>“</w:t>
      </w:r>
      <w:r w:rsidRPr="00F709B5">
        <w:rPr>
          <w:rFonts w:ascii="Times New Roman" w:hAnsi="Times New Roman" w:cs="Times New Roman"/>
        </w:rPr>
        <w:t>关于控股股东、实际控制人及其一致行为人减持股份计划进展公告</w:t>
      </w:r>
      <w:r w:rsidRPr="00F709B5">
        <w:rPr>
          <w:rFonts w:ascii="Times New Roman" w:hAnsi="Times New Roman" w:cs="Times New Roman"/>
        </w:rPr>
        <w:t>”</w:t>
      </w:r>
      <w:r w:rsidRPr="00F709B5">
        <w:rPr>
          <w:rFonts w:ascii="Times New Roman" w:hAnsi="Times New Roman" w:cs="Times New Roman"/>
        </w:rPr>
        <w:t>，在这一公告发布的前后几天，该公司股票均呈现下跌，但是跌幅较小，可见其公司公告对其股价具有一定影响。</w:t>
      </w:r>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而从行业角度来看，宁波</w:t>
      </w:r>
      <w:proofErr w:type="gramStart"/>
      <w:r w:rsidRPr="00F709B5">
        <w:rPr>
          <w:rFonts w:ascii="Times New Roman" w:hAnsi="Times New Roman" w:cs="Times New Roman"/>
        </w:rPr>
        <w:t>精达虽然</w:t>
      </w:r>
      <w:proofErr w:type="gramEnd"/>
      <w:r w:rsidRPr="00F709B5">
        <w:rPr>
          <w:rFonts w:ascii="Times New Roman" w:hAnsi="Times New Roman" w:cs="Times New Roman"/>
        </w:rPr>
        <w:t>在东方财富网中未被划分至任</w:t>
      </w:r>
      <w:proofErr w:type="gramStart"/>
      <w:r w:rsidRPr="00F709B5">
        <w:rPr>
          <w:rFonts w:ascii="Times New Roman" w:hAnsi="Times New Roman" w:cs="Times New Roman"/>
        </w:rPr>
        <w:t>一</w:t>
      </w:r>
      <w:proofErr w:type="gramEnd"/>
      <w:r w:rsidRPr="00F709B5">
        <w:rPr>
          <w:rFonts w:ascii="Times New Roman" w:hAnsi="Times New Roman" w:cs="Times New Roman"/>
        </w:rPr>
        <w:t>板块，但由于业务为机械制造，因为这里以机械板块环境进行对比分析。其中</w:t>
      </w:r>
      <w:proofErr w:type="gramStart"/>
      <w:r w:rsidRPr="00F709B5">
        <w:rPr>
          <w:rFonts w:ascii="Times New Roman" w:hAnsi="Times New Roman" w:cs="Times New Roman"/>
        </w:rPr>
        <w:t>观环境</w:t>
      </w:r>
      <w:proofErr w:type="gramEnd"/>
      <w:r w:rsidRPr="00F709B5">
        <w:rPr>
          <w:rFonts w:ascii="Times New Roman" w:hAnsi="Times New Roman" w:cs="Times New Roman"/>
        </w:rPr>
        <w:t>与中电电机相同，板块整体处于上升状态，因此宁波</w:t>
      </w:r>
      <w:proofErr w:type="gramStart"/>
      <w:r w:rsidRPr="00F709B5">
        <w:rPr>
          <w:rFonts w:ascii="Times New Roman" w:hAnsi="Times New Roman" w:cs="Times New Roman"/>
        </w:rPr>
        <w:t>精达也随板块</w:t>
      </w:r>
      <w:proofErr w:type="gramEnd"/>
      <w:r w:rsidRPr="00F709B5">
        <w:rPr>
          <w:rFonts w:ascii="Times New Roman" w:hAnsi="Times New Roman" w:cs="Times New Roman"/>
        </w:rPr>
        <w:t>因素，</w:t>
      </w:r>
      <w:proofErr w:type="gramStart"/>
      <w:r w:rsidRPr="00F709B5">
        <w:rPr>
          <w:rFonts w:ascii="Times New Roman" w:hAnsi="Times New Roman" w:cs="Times New Roman"/>
        </w:rPr>
        <w:t>同趋势</w:t>
      </w:r>
      <w:proofErr w:type="gramEnd"/>
      <w:r w:rsidRPr="00F709B5">
        <w:rPr>
          <w:rFonts w:ascii="Times New Roman" w:hAnsi="Times New Roman" w:cs="Times New Roman"/>
        </w:rPr>
        <w:t>上升，虽然由于个股因素其股价略有波动，但仍属于正常范畴，因此表现良好，具有良好的投资价值。</w:t>
      </w:r>
    </w:p>
    <w:p w:rsidR="00F709B5" w:rsidRPr="00031BEF" w:rsidRDefault="00F709B5" w:rsidP="00F709B5">
      <w:pPr>
        <w:pStyle w:val="2"/>
        <w:spacing w:before="0" w:after="0" w:line="360" w:lineRule="auto"/>
        <w:rPr>
          <w:rFonts w:ascii="Times New Roman" w:hAnsi="Times New Roman" w:cs="Times New Roman"/>
          <w:color w:val="000000" w:themeColor="text1"/>
        </w:rPr>
      </w:pPr>
      <w:bookmarkStart w:id="22" w:name="_Toc512116436"/>
      <w:r w:rsidRPr="00031BEF">
        <w:rPr>
          <w:rFonts w:ascii="Times New Roman" w:hAnsi="Times New Roman" w:cs="Times New Roman" w:hint="eastAsia"/>
          <w:color w:val="000000" w:themeColor="text1"/>
        </w:rPr>
        <w:t>（二）投资组合分析</w:t>
      </w:r>
      <w:bookmarkEnd w:id="22"/>
    </w:p>
    <w:p w:rsidR="00F709B5" w:rsidRPr="00F709B5" w:rsidRDefault="00F709B5" w:rsidP="00F709B5">
      <w:pPr>
        <w:spacing w:line="360" w:lineRule="auto"/>
        <w:ind w:firstLineChars="200" w:firstLine="420"/>
        <w:rPr>
          <w:rFonts w:ascii="Times New Roman" w:hAnsi="Times New Roman" w:cs="Times New Roman"/>
        </w:rPr>
      </w:pPr>
      <w:r w:rsidRPr="00F709B5">
        <w:rPr>
          <w:rFonts w:ascii="Times New Roman" w:hAnsi="Times New Roman" w:cs="Times New Roman"/>
        </w:rPr>
        <w:t>根据上述三支股票的分析可见，它们均受到宏观环境和中</w:t>
      </w:r>
      <w:proofErr w:type="gramStart"/>
      <w:r w:rsidRPr="00F709B5">
        <w:rPr>
          <w:rFonts w:ascii="Times New Roman" w:hAnsi="Times New Roman" w:cs="Times New Roman"/>
        </w:rPr>
        <w:t>观环境</w:t>
      </w:r>
      <w:proofErr w:type="gramEnd"/>
      <w:r w:rsidRPr="00F709B5">
        <w:rPr>
          <w:rFonts w:ascii="Times New Roman" w:hAnsi="Times New Roman" w:cs="Times New Roman"/>
        </w:rPr>
        <w:t>较深影响，与市场相关性大，因此其贝塔值较高，为</w:t>
      </w:r>
      <w:r w:rsidRPr="00F709B5">
        <w:rPr>
          <w:rFonts w:ascii="Times New Roman" w:hAnsi="Times New Roman" w:cs="Times New Roman"/>
        </w:rPr>
        <w:t>0.99</w:t>
      </w:r>
      <w:r w:rsidRPr="00F709B5">
        <w:rPr>
          <w:rFonts w:ascii="Times New Roman" w:hAnsi="Times New Roman" w:cs="Times New Roman"/>
        </w:rPr>
        <w:t>，投资该组合需要重视市场方面的信息。此外，从宏观和中观环境分析可知，这三支股票的前景良好，但</w:t>
      </w:r>
      <w:r w:rsidRPr="00F709B5">
        <w:rPr>
          <w:rFonts w:ascii="Times New Roman" w:hAnsi="Times New Roman" w:cs="Times New Roman"/>
        </w:rPr>
        <w:t>4</w:t>
      </w:r>
      <w:r w:rsidRPr="00F709B5">
        <w:rPr>
          <w:rFonts w:ascii="Times New Roman" w:hAnsi="Times New Roman" w:cs="Times New Roman"/>
        </w:rPr>
        <w:t>月近期股价纷纷小幅下跌，说明其股票价格存在被低估的现象，因此阿</w:t>
      </w:r>
      <w:proofErr w:type="gramStart"/>
      <w:r w:rsidRPr="00F709B5">
        <w:rPr>
          <w:rFonts w:ascii="Times New Roman" w:hAnsi="Times New Roman" w:cs="Times New Roman"/>
        </w:rPr>
        <w:t>尔法值大于</w:t>
      </w:r>
      <w:proofErr w:type="gramEnd"/>
      <w:r w:rsidRPr="00F709B5">
        <w:rPr>
          <w:rFonts w:ascii="Times New Roman" w:hAnsi="Times New Roman" w:cs="Times New Roman"/>
        </w:rPr>
        <w:t>零，为</w:t>
      </w:r>
      <w:r w:rsidRPr="00F709B5">
        <w:rPr>
          <w:rFonts w:ascii="Times New Roman" w:hAnsi="Times New Roman" w:cs="Times New Roman"/>
        </w:rPr>
        <w:t>47.09%</w:t>
      </w:r>
      <w:r w:rsidRPr="00F709B5">
        <w:rPr>
          <w:rFonts w:ascii="Times New Roman" w:hAnsi="Times New Roman" w:cs="Times New Roman"/>
        </w:rPr>
        <w:t>。同时，由于其中两只股票受公司重大决策影响较大，其波动性较大，导致其面临的风险也相对高些。不过，该投资组合的前提中已经假设投资者具有较强的风险偏好，因此仍处于可以接受的程度。最后，由于波动和风险相对较大，其夏普比率也应相对较高，即其超额收益率较高，最终测算结果为</w:t>
      </w:r>
      <w:r w:rsidRPr="00F709B5">
        <w:rPr>
          <w:rFonts w:ascii="Times New Roman" w:hAnsi="Times New Roman" w:cs="Times New Roman"/>
        </w:rPr>
        <w:t>0.27</w:t>
      </w:r>
      <w:r w:rsidRPr="00F709B5">
        <w:rPr>
          <w:rFonts w:ascii="Times New Roman" w:hAnsi="Times New Roman" w:cs="Times New Roman"/>
        </w:rPr>
        <w:t>。</w:t>
      </w:r>
    </w:p>
    <w:p w:rsidR="00F709B5" w:rsidRPr="00F948AC" w:rsidRDefault="00F709B5" w:rsidP="00F709B5">
      <w:pPr>
        <w:pStyle w:val="1"/>
        <w:spacing w:before="0" w:after="0" w:line="360" w:lineRule="auto"/>
        <w:rPr>
          <w:rFonts w:ascii="Times New Roman" w:hAnsi="Times New Roman" w:cs="Times New Roman"/>
          <w:color w:val="000000" w:themeColor="text1"/>
        </w:rPr>
      </w:pPr>
      <w:bookmarkStart w:id="23" w:name="_Toc512116437"/>
      <w:r w:rsidRPr="00F948AC">
        <w:rPr>
          <w:rFonts w:ascii="Times New Roman" w:hAnsi="Times New Roman" w:cs="Times New Roman"/>
          <w:color w:val="000000" w:themeColor="text1"/>
        </w:rPr>
        <w:lastRenderedPageBreak/>
        <w:t>七、策略评价</w:t>
      </w:r>
      <w:bookmarkEnd w:id="23"/>
    </w:p>
    <w:p w:rsidR="00F709B5" w:rsidRPr="00F709B5" w:rsidRDefault="00F709B5" w:rsidP="00F709B5">
      <w:pPr>
        <w:spacing w:line="360" w:lineRule="auto"/>
        <w:ind w:firstLine="420"/>
        <w:rPr>
          <w:rFonts w:ascii="Times New Roman" w:hAnsi="Times New Roman" w:cs="Times New Roman"/>
        </w:rPr>
      </w:pPr>
      <w:r w:rsidRPr="00F709B5">
        <w:rPr>
          <w:rFonts w:ascii="Times New Roman" w:hAnsi="Times New Roman" w:cs="Times New Roman"/>
        </w:rPr>
        <w:t>对于一个交易策略，初学者往往认为收益越高越好。收益确实是一个重要的评价指标，但是除了收益之外，还有很多其他重要的角度来衡量一个策略的好坏。例如这个策略的风险性、胜率、交易频率等。</w:t>
      </w:r>
    </w:p>
    <w:p w:rsidR="00F709B5" w:rsidRPr="00F709B5" w:rsidRDefault="00F709B5" w:rsidP="00F709B5">
      <w:pPr>
        <w:spacing w:line="360" w:lineRule="auto"/>
        <w:ind w:firstLine="420"/>
        <w:rPr>
          <w:rFonts w:ascii="Times New Roman" w:hAnsi="Times New Roman" w:cs="Times New Roman"/>
        </w:rPr>
      </w:pPr>
      <w:r w:rsidRPr="00F709B5">
        <w:rPr>
          <w:rFonts w:ascii="Times New Roman" w:hAnsi="Times New Roman" w:cs="Times New Roman"/>
        </w:rPr>
        <w:t>本次交易策略中主要运用的贝塔</w:t>
      </w:r>
      <w:proofErr w:type="gramStart"/>
      <w:r w:rsidRPr="00F709B5">
        <w:rPr>
          <w:rFonts w:ascii="Times New Roman" w:hAnsi="Times New Roman" w:cs="Times New Roman"/>
        </w:rPr>
        <w:t>值根据</w:t>
      </w:r>
      <w:proofErr w:type="gramEnd"/>
      <w:r w:rsidRPr="00F709B5">
        <w:rPr>
          <w:rFonts w:ascii="Times New Roman" w:hAnsi="Times New Roman" w:cs="Times New Roman"/>
        </w:rPr>
        <w:t>经典的资本资产定价</w:t>
      </w:r>
      <w:r w:rsidR="00C44D1F">
        <w:rPr>
          <w:rFonts w:ascii="Times New Roman" w:hAnsi="Times New Roman" w:cs="Times New Roman" w:hint="eastAsia"/>
        </w:rPr>
        <w:t>模型</w:t>
      </w:r>
      <w:r>
        <w:rPr>
          <w:rFonts w:ascii="Times New Roman" w:hAnsi="Times New Roman" w:cs="Times New Roman" w:hint="eastAsia"/>
        </w:rPr>
        <w:t>（</w:t>
      </w:r>
      <w:r w:rsidRPr="00F709B5">
        <w:rPr>
          <w:rFonts w:ascii="Times New Roman" w:hAnsi="Times New Roman" w:cs="Times New Roman"/>
        </w:rPr>
        <w:t>CAPM</w:t>
      </w:r>
      <w:r w:rsidRPr="00F709B5">
        <w:rPr>
          <w:rFonts w:ascii="Times New Roman" w:hAnsi="Times New Roman" w:cs="Times New Roman"/>
        </w:rPr>
        <w:t>模型</w:t>
      </w:r>
      <w:r>
        <w:rPr>
          <w:rFonts w:ascii="Times New Roman" w:hAnsi="Times New Roman" w:cs="Times New Roman" w:hint="eastAsia"/>
        </w:rPr>
        <w:t>）</w:t>
      </w:r>
      <w:r w:rsidRPr="00F709B5">
        <w:rPr>
          <w:rFonts w:ascii="Times New Roman" w:hAnsi="Times New Roman" w:cs="Times New Roman"/>
        </w:rPr>
        <w:t>得到，</w:t>
      </w:r>
      <w:r w:rsidRPr="00F709B5">
        <w:rPr>
          <w:rFonts w:ascii="Times New Roman" w:hAnsi="Times New Roman" w:cs="Times New Roman"/>
        </w:rPr>
        <w:t>β</w:t>
      </w:r>
      <w:r w:rsidRPr="00F709B5">
        <w:rPr>
          <w:rFonts w:ascii="Times New Roman" w:hAnsi="Times New Roman" w:cs="Times New Roman"/>
        </w:rPr>
        <w:t>系数衡量了资产的回报率对市场变动的敏感程度，代表了该资产的系统性风险，表示策略对大盘的敏感性</w:t>
      </w:r>
      <w:r w:rsidR="00C44D1F">
        <w:rPr>
          <w:rFonts w:ascii="Times New Roman" w:hAnsi="Times New Roman" w:cs="Times New Roman" w:hint="eastAsia"/>
        </w:rPr>
        <w:t>，</w:t>
      </w:r>
      <w:r w:rsidRPr="00F709B5">
        <w:rPr>
          <w:rFonts w:ascii="Times New Roman" w:hAnsi="Times New Roman" w:cs="Times New Roman"/>
        </w:rPr>
        <w:t>下面对本次交易的优缺点进行</w:t>
      </w:r>
      <w:r w:rsidR="00C44D1F">
        <w:rPr>
          <w:rFonts w:ascii="Times New Roman" w:hAnsi="Times New Roman" w:cs="Times New Roman" w:hint="eastAsia"/>
        </w:rPr>
        <w:t>概括性的评析</w:t>
      </w:r>
      <w:r w:rsidRPr="00F709B5">
        <w:rPr>
          <w:rFonts w:ascii="Times New Roman" w:hAnsi="Times New Roman" w:cs="Times New Roman"/>
        </w:rPr>
        <w:t>。</w:t>
      </w:r>
    </w:p>
    <w:p w:rsidR="00F709B5" w:rsidRPr="00972336" w:rsidRDefault="00F709B5" w:rsidP="00415C05">
      <w:pPr>
        <w:pStyle w:val="2"/>
        <w:spacing w:before="0" w:after="0" w:line="415" w:lineRule="auto"/>
      </w:pPr>
      <w:bookmarkStart w:id="24" w:name="_Toc512116438"/>
      <w:r w:rsidRPr="00972336">
        <w:rPr>
          <w:rFonts w:hint="eastAsia"/>
        </w:rPr>
        <w:t>（一）优点</w:t>
      </w:r>
      <w:bookmarkEnd w:id="24"/>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1</w:t>
      </w:r>
      <w:r w:rsidRPr="00C44D1F">
        <w:rPr>
          <w:rFonts w:ascii="Times New Roman" w:hAnsi="Times New Roman" w:cs="Times New Roman"/>
          <w:b/>
        </w:rPr>
        <w:t>．交易策略设计合理</w:t>
      </w:r>
    </w:p>
    <w:p w:rsidR="00F709B5" w:rsidRPr="00C44D1F" w:rsidRDefault="00F709B5" w:rsidP="00F709B5">
      <w:pPr>
        <w:spacing w:line="360" w:lineRule="auto"/>
        <w:ind w:firstLineChars="200" w:firstLine="420"/>
        <w:rPr>
          <w:rFonts w:ascii="Times New Roman" w:hAnsi="Times New Roman" w:cs="Times New Roman"/>
        </w:rPr>
      </w:pPr>
      <w:r w:rsidRPr="00C44D1F">
        <w:rPr>
          <w:rFonts w:ascii="Times New Roman" w:hAnsi="Times New Roman" w:cs="Times New Roman"/>
        </w:rPr>
        <w:t>本次交易策略条理清晰、步骤规范，选取现实中的数据样本，联系实际且具有代表性，并适当的降低了模型拟合时的计算难度。结合所学知识合理的运用了</w:t>
      </w:r>
      <w:r w:rsidRPr="00C44D1F">
        <w:rPr>
          <w:rFonts w:ascii="Times New Roman" w:hAnsi="Times New Roman" w:cs="Times New Roman"/>
        </w:rPr>
        <w:t>CAPM</w:t>
      </w:r>
      <w:r w:rsidRPr="00C44D1F">
        <w:rPr>
          <w:rFonts w:ascii="Times New Roman" w:hAnsi="Times New Roman" w:cs="Times New Roman"/>
        </w:rPr>
        <w:t>模型和</w:t>
      </w:r>
      <w:r w:rsidRPr="00C44D1F">
        <w:rPr>
          <w:rFonts w:ascii="Times New Roman" w:hAnsi="Times New Roman" w:cs="Times New Roman"/>
        </w:rPr>
        <w:t>MVO</w:t>
      </w:r>
      <w:r w:rsidRPr="00C44D1F">
        <w:rPr>
          <w:rFonts w:ascii="Times New Roman" w:hAnsi="Times New Roman" w:cs="Times New Roman"/>
        </w:rPr>
        <w:t>理论。</w:t>
      </w:r>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2</w:t>
      </w:r>
      <w:r w:rsidRPr="00C44D1F">
        <w:rPr>
          <w:rFonts w:ascii="Times New Roman" w:hAnsi="Times New Roman" w:cs="Times New Roman"/>
          <w:b/>
        </w:rPr>
        <w:t>．</w:t>
      </w:r>
      <w:r w:rsidRPr="00C44D1F">
        <w:rPr>
          <w:rFonts w:ascii="Times New Roman" w:hAnsi="Times New Roman" w:cs="Times New Roman"/>
          <w:b/>
        </w:rPr>
        <w:t>beta</w:t>
      </w:r>
      <w:r w:rsidRPr="00C44D1F">
        <w:rPr>
          <w:rFonts w:ascii="Times New Roman" w:hAnsi="Times New Roman" w:cs="Times New Roman"/>
          <w:b/>
        </w:rPr>
        <w:t>套利自主性强</w:t>
      </w:r>
    </w:p>
    <w:p w:rsidR="00F709B5" w:rsidRPr="00C44D1F" w:rsidRDefault="00F709B5" w:rsidP="00F709B5">
      <w:pPr>
        <w:spacing w:line="360" w:lineRule="auto"/>
        <w:ind w:firstLineChars="200" w:firstLine="420"/>
        <w:rPr>
          <w:rFonts w:ascii="Times New Roman" w:hAnsi="Times New Roman" w:cs="Times New Roman"/>
        </w:rPr>
      </w:pPr>
      <w:r w:rsidRPr="00C44D1F">
        <w:rPr>
          <w:rFonts w:ascii="Times New Roman" w:hAnsi="Times New Roman" w:cs="Times New Roman"/>
        </w:rPr>
        <w:t>在传统的资本市场中，套利主要依赖于市场的一时失灵与短暂偏离，机理简单。这种情况下，大部分投资者操作模式会逐渐趋同，随着参与套利机构不断增多，可套利的机会将慢慢消失。而</w:t>
      </w:r>
      <w:r w:rsidRPr="00C44D1F">
        <w:rPr>
          <w:rFonts w:ascii="Times New Roman" w:hAnsi="Times New Roman" w:cs="Times New Roman"/>
        </w:rPr>
        <w:t>beta</w:t>
      </w:r>
      <w:r w:rsidRPr="00C44D1F">
        <w:rPr>
          <w:rFonts w:ascii="Times New Roman" w:hAnsi="Times New Roman" w:cs="Times New Roman"/>
        </w:rPr>
        <w:t>套利策略建立在投资者择时择股、主动配置资产的能力之上，能动</w:t>
      </w:r>
      <w:r w:rsidR="00415C05">
        <w:rPr>
          <w:rFonts w:ascii="Times New Roman" w:hAnsi="Times New Roman" w:cs="Times New Roman" w:hint="eastAsia"/>
        </w:rPr>
        <w:t>性</w:t>
      </w:r>
      <w:r w:rsidRPr="00C44D1F">
        <w:rPr>
          <w:rFonts w:ascii="Times New Roman" w:hAnsi="Times New Roman" w:cs="Times New Roman"/>
        </w:rPr>
        <w:t>更强，获利机会更多同时风险也大于传统的简单套利模式。</w:t>
      </w:r>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3</w:t>
      </w:r>
      <w:r w:rsidRPr="00C44D1F">
        <w:rPr>
          <w:rFonts w:ascii="Times New Roman" w:hAnsi="Times New Roman" w:cs="Times New Roman"/>
          <w:b/>
        </w:rPr>
        <w:t>．权益资本成本计算精准</w:t>
      </w:r>
    </w:p>
    <w:p w:rsidR="00F709B5" w:rsidRPr="00C44D1F" w:rsidRDefault="00F709B5" w:rsidP="00F709B5">
      <w:pPr>
        <w:spacing w:line="360" w:lineRule="auto"/>
        <w:ind w:firstLineChars="200" w:firstLine="420"/>
        <w:rPr>
          <w:rFonts w:ascii="Times New Roman" w:hAnsi="Times New Roman" w:cs="Times New Roman"/>
        </w:rPr>
      </w:pPr>
      <w:r w:rsidRPr="00C44D1F">
        <w:rPr>
          <w:rFonts w:ascii="Times New Roman" w:hAnsi="Times New Roman" w:cs="Times New Roman"/>
        </w:rPr>
        <w:t>因为</w:t>
      </w:r>
      <w:r w:rsidRPr="00C44D1F">
        <w:rPr>
          <w:rFonts w:ascii="Times New Roman" w:hAnsi="Times New Roman" w:cs="Times New Roman"/>
        </w:rPr>
        <w:t>CAPM</w:t>
      </w:r>
      <w:r w:rsidRPr="00C44D1F">
        <w:rPr>
          <w:rFonts w:ascii="Times New Roman" w:hAnsi="Times New Roman" w:cs="Times New Roman"/>
        </w:rPr>
        <w:t>模型详细地考虑了一个公司的系统性风险水平相对于整个股票市场的系统性风险水平，所以</w:t>
      </w:r>
      <w:r w:rsidR="00C44D1F">
        <w:rPr>
          <w:rFonts w:ascii="Times New Roman" w:hAnsi="Times New Roman" w:cs="Times New Roman" w:hint="eastAsia"/>
        </w:rPr>
        <w:t>相较</w:t>
      </w:r>
      <w:r w:rsidRPr="00C44D1F">
        <w:rPr>
          <w:rFonts w:ascii="Times New Roman" w:hAnsi="Times New Roman" w:cs="Times New Roman"/>
        </w:rPr>
        <w:t>Dividend growth model</w:t>
      </w:r>
      <w:r w:rsidR="00C44D1F">
        <w:rPr>
          <w:rFonts w:ascii="Times New Roman" w:hAnsi="Times New Roman" w:cs="Times New Roman" w:hint="eastAsia"/>
        </w:rPr>
        <w:t>，</w:t>
      </w:r>
      <w:r w:rsidRPr="00C44D1F">
        <w:rPr>
          <w:rFonts w:ascii="Times New Roman" w:hAnsi="Times New Roman" w:cs="Times New Roman"/>
        </w:rPr>
        <w:t>在计算权益资本成本</w:t>
      </w:r>
      <w:r w:rsidR="00C44D1F">
        <w:rPr>
          <w:rFonts w:ascii="Times New Roman" w:hAnsi="Times New Roman" w:cs="Times New Roman" w:hint="eastAsia"/>
        </w:rPr>
        <w:t>（</w:t>
      </w:r>
      <w:r w:rsidRPr="00C44D1F">
        <w:rPr>
          <w:rFonts w:ascii="Times New Roman" w:hAnsi="Times New Roman" w:cs="Times New Roman"/>
        </w:rPr>
        <w:t>cost of equity</w:t>
      </w:r>
      <w:r w:rsidR="00C44D1F">
        <w:rPr>
          <w:rFonts w:ascii="Times New Roman" w:hAnsi="Times New Roman" w:cs="Times New Roman" w:hint="eastAsia"/>
        </w:rPr>
        <w:t>）</w:t>
      </w:r>
      <w:r w:rsidRPr="00C44D1F">
        <w:rPr>
          <w:rFonts w:ascii="Times New Roman" w:hAnsi="Times New Roman" w:cs="Times New Roman"/>
        </w:rPr>
        <w:t>时</w:t>
      </w:r>
      <w:r w:rsidR="00C44D1F">
        <w:rPr>
          <w:rFonts w:ascii="Times New Roman" w:hAnsi="Times New Roman" w:cs="Times New Roman" w:hint="eastAsia"/>
        </w:rPr>
        <w:t>更为</w:t>
      </w:r>
      <w:r w:rsidRPr="00C44D1F">
        <w:rPr>
          <w:rFonts w:ascii="Times New Roman" w:hAnsi="Times New Roman" w:cs="Times New Roman"/>
        </w:rPr>
        <w:t>准确。</w:t>
      </w:r>
    </w:p>
    <w:p w:rsidR="00F709B5" w:rsidRPr="00972336" w:rsidRDefault="00F709B5" w:rsidP="00415C05">
      <w:pPr>
        <w:pStyle w:val="2"/>
        <w:spacing w:before="0" w:after="0" w:line="415" w:lineRule="auto"/>
      </w:pPr>
      <w:bookmarkStart w:id="25" w:name="_Toc512116439"/>
      <w:r w:rsidRPr="00972336">
        <w:rPr>
          <w:rFonts w:hint="eastAsia"/>
        </w:rPr>
        <w:t>（二）缺点</w:t>
      </w:r>
      <w:bookmarkEnd w:id="25"/>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1</w:t>
      </w:r>
      <w:r w:rsidRPr="00C44D1F">
        <w:rPr>
          <w:rFonts w:ascii="Times New Roman" w:hAnsi="Times New Roman" w:cs="Times New Roman"/>
          <w:b/>
        </w:rPr>
        <w:t>．完全忽略非系统性风险</w:t>
      </w:r>
    </w:p>
    <w:p w:rsidR="00F709B5" w:rsidRPr="00C44D1F" w:rsidRDefault="00C44D1F" w:rsidP="00F709B5">
      <w:pPr>
        <w:spacing w:line="360" w:lineRule="auto"/>
        <w:ind w:firstLineChars="200" w:firstLine="420"/>
        <w:rPr>
          <w:rFonts w:ascii="Times New Roman" w:hAnsi="Times New Roman" w:cs="Times New Roman"/>
        </w:rPr>
      </w:pPr>
      <w:r>
        <w:rPr>
          <w:rFonts w:ascii="Times New Roman" w:hAnsi="Times New Roman" w:cs="Times New Roman" w:hint="eastAsia"/>
        </w:rPr>
        <w:t>此</w:t>
      </w:r>
      <w:r w:rsidR="00F709B5" w:rsidRPr="00C44D1F">
        <w:rPr>
          <w:rFonts w:ascii="Times New Roman" w:hAnsi="Times New Roman" w:cs="Times New Roman"/>
        </w:rPr>
        <w:t>模型</w:t>
      </w:r>
      <w:r>
        <w:rPr>
          <w:rFonts w:ascii="Times New Roman" w:hAnsi="Times New Roman" w:cs="Times New Roman" w:hint="eastAsia"/>
        </w:rPr>
        <w:t>仅</w:t>
      </w:r>
      <w:r w:rsidR="00F709B5" w:rsidRPr="00C44D1F">
        <w:rPr>
          <w:rFonts w:ascii="Times New Roman" w:hAnsi="Times New Roman" w:cs="Times New Roman"/>
        </w:rPr>
        <w:t>考虑了系统性风险</w:t>
      </w:r>
      <w:r>
        <w:rPr>
          <w:rFonts w:ascii="Times New Roman" w:hAnsi="Times New Roman" w:cs="Times New Roman" w:hint="eastAsia"/>
        </w:rPr>
        <w:t>（</w:t>
      </w:r>
      <w:r w:rsidR="00F709B5" w:rsidRPr="00C44D1F">
        <w:rPr>
          <w:rFonts w:ascii="Times New Roman" w:hAnsi="Times New Roman" w:cs="Times New Roman"/>
        </w:rPr>
        <w:t>市场风险</w:t>
      </w:r>
      <w:r>
        <w:rPr>
          <w:rFonts w:ascii="Times New Roman" w:hAnsi="Times New Roman" w:cs="Times New Roman" w:hint="eastAsia"/>
        </w:rPr>
        <w:t>）</w:t>
      </w:r>
      <w:r w:rsidR="00F709B5" w:rsidRPr="00C44D1F">
        <w:rPr>
          <w:rFonts w:ascii="Times New Roman" w:hAnsi="Times New Roman" w:cs="Times New Roman"/>
        </w:rPr>
        <w:t>，较</w:t>
      </w:r>
      <w:r>
        <w:rPr>
          <w:rFonts w:ascii="Times New Roman" w:hAnsi="Times New Roman" w:cs="Times New Roman" w:hint="eastAsia"/>
        </w:rPr>
        <w:t>为</w:t>
      </w:r>
      <w:r w:rsidR="00F709B5" w:rsidRPr="00C44D1F">
        <w:rPr>
          <w:rFonts w:ascii="Times New Roman" w:hAnsi="Times New Roman" w:cs="Times New Roman"/>
        </w:rPr>
        <w:t>符合现实</w:t>
      </w:r>
      <w:r>
        <w:rPr>
          <w:rFonts w:ascii="Times New Roman" w:hAnsi="Times New Roman" w:cs="Times New Roman" w:hint="eastAsia"/>
        </w:rPr>
        <w:t>。</w:t>
      </w:r>
      <w:r w:rsidR="00F709B5" w:rsidRPr="00C44D1F">
        <w:rPr>
          <w:rFonts w:ascii="Times New Roman" w:hAnsi="Times New Roman" w:cs="Times New Roman"/>
        </w:rPr>
        <w:t>因为在现实的资本市场中，大部分的投资者都会尽量地使其投资组合多样化等其他方式，从而很大程度上地消除非系统性风险。</w:t>
      </w:r>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2</w:t>
      </w:r>
      <w:r w:rsidRPr="00C44D1F">
        <w:rPr>
          <w:rFonts w:ascii="Times New Roman" w:hAnsi="Times New Roman" w:cs="Times New Roman"/>
          <w:b/>
        </w:rPr>
        <w:t>．</w:t>
      </w:r>
      <w:r w:rsidRPr="00C44D1F">
        <w:rPr>
          <w:rFonts w:ascii="Times New Roman" w:hAnsi="Times New Roman" w:cs="Times New Roman"/>
          <w:b/>
        </w:rPr>
        <w:t>ERP</w:t>
      </w:r>
      <w:r w:rsidRPr="00C44D1F">
        <w:rPr>
          <w:rFonts w:ascii="Times New Roman" w:hAnsi="Times New Roman" w:cs="Times New Roman"/>
          <w:b/>
        </w:rPr>
        <w:t>取值具有不确定性</w:t>
      </w:r>
    </w:p>
    <w:p w:rsidR="00F709B5" w:rsidRPr="00C44D1F" w:rsidRDefault="00F709B5" w:rsidP="00F709B5">
      <w:pPr>
        <w:spacing w:line="360" w:lineRule="auto"/>
        <w:ind w:firstLineChars="200" w:firstLine="420"/>
        <w:rPr>
          <w:rFonts w:ascii="Times New Roman" w:hAnsi="Times New Roman" w:cs="Times New Roman"/>
        </w:rPr>
      </w:pPr>
      <w:r w:rsidRPr="00C44D1F">
        <w:rPr>
          <w:rFonts w:ascii="Times New Roman" w:hAnsi="Times New Roman" w:cs="Times New Roman"/>
        </w:rPr>
        <w:t>为市场风险溢价</w:t>
      </w:r>
      <w:r w:rsidR="00C44D1F">
        <w:rPr>
          <w:rFonts w:ascii="Times New Roman" w:hAnsi="Times New Roman" w:cs="Times New Roman" w:hint="eastAsia"/>
        </w:rPr>
        <w:t>（</w:t>
      </w:r>
      <w:r w:rsidRPr="00C44D1F">
        <w:rPr>
          <w:rFonts w:ascii="Times New Roman" w:hAnsi="Times New Roman" w:cs="Times New Roman"/>
        </w:rPr>
        <w:t>ERP</w:t>
      </w:r>
      <w:r w:rsidR="00C44D1F">
        <w:rPr>
          <w:rFonts w:ascii="Times New Roman" w:hAnsi="Times New Roman" w:cs="Times New Roman" w:hint="eastAsia"/>
        </w:rPr>
        <w:t>）</w:t>
      </w:r>
      <w:r w:rsidRPr="00C44D1F">
        <w:rPr>
          <w:rFonts w:ascii="Times New Roman" w:hAnsi="Times New Roman" w:cs="Times New Roman"/>
        </w:rPr>
        <w:t>的取值相对是比较困难的</w:t>
      </w:r>
      <w:r w:rsidR="00C44D1F">
        <w:rPr>
          <w:rFonts w:ascii="Times New Roman" w:hAnsi="Times New Roman" w:cs="Times New Roman" w:hint="eastAsia"/>
        </w:rPr>
        <w:t>，</w:t>
      </w:r>
      <w:r w:rsidRPr="00C44D1F">
        <w:rPr>
          <w:rFonts w:ascii="Times New Roman" w:hAnsi="Times New Roman" w:cs="Times New Roman"/>
        </w:rPr>
        <w:t>一个股票市场的回报是所有股票的平均资本利</w:t>
      </w:r>
      <w:proofErr w:type="gramStart"/>
      <w:r w:rsidRPr="00C44D1F">
        <w:rPr>
          <w:rFonts w:ascii="Times New Roman" w:hAnsi="Times New Roman" w:cs="Times New Roman"/>
        </w:rPr>
        <w:t>得及其</w:t>
      </w:r>
      <w:proofErr w:type="gramEnd"/>
      <w:r w:rsidRPr="00C44D1F">
        <w:rPr>
          <w:rFonts w:ascii="Times New Roman" w:hAnsi="Times New Roman" w:cs="Times New Roman"/>
        </w:rPr>
        <w:t>平均股利分红的总和。在短期来看，当整体股票下降的价格大于其所带来</w:t>
      </w:r>
      <w:r w:rsidRPr="00C44D1F">
        <w:rPr>
          <w:rFonts w:ascii="Times New Roman" w:hAnsi="Times New Roman" w:cs="Times New Roman"/>
        </w:rPr>
        <w:lastRenderedPageBreak/>
        <w:t>的股利分红时，一个股票市场会有一个负的市场回报而非正的市场回报</w:t>
      </w:r>
      <w:r w:rsidR="00C44D1F">
        <w:rPr>
          <w:rFonts w:ascii="Times New Roman" w:hAnsi="Times New Roman" w:cs="Times New Roman" w:hint="eastAsia"/>
        </w:rPr>
        <w:t>，</w:t>
      </w:r>
      <w:r w:rsidRPr="00C44D1F">
        <w:rPr>
          <w:rFonts w:ascii="Times New Roman" w:hAnsi="Times New Roman" w:cs="Times New Roman"/>
        </w:rPr>
        <w:t>因此股票市场的</w:t>
      </w:r>
      <w:r w:rsidRPr="00C44D1F">
        <w:rPr>
          <w:rFonts w:ascii="Times New Roman" w:hAnsi="Times New Roman" w:cs="Times New Roman"/>
        </w:rPr>
        <w:t>ERP</w:t>
      </w:r>
      <w:r w:rsidRPr="00C44D1F">
        <w:rPr>
          <w:rFonts w:ascii="Times New Roman" w:hAnsi="Times New Roman" w:cs="Times New Roman"/>
        </w:rPr>
        <w:t>取值经常是一个经过大量实证研究的，长期的</w:t>
      </w:r>
      <w:r w:rsidRPr="00C44D1F">
        <w:rPr>
          <w:rFonts w:ascii="Times New Roman" w:hAnsi="Times New Roman" w:cs="Times New Roman"/>
        </w:rPr>
        <w:t>ERP</w:t>
      </w:r>
      <w:r w:rsidRPr="00C44D1F">
        <w:rPr>
          <w:rFonts w:ascii="Times New Roman" w:hAnsi="Times New Roman" w:cs="Times New Roman"/>
        </w:rPr>
        <w:t>平均值</w:t>
      </w:r>
      <w:r w:rsidR="00C44D1F">
        <w:rPr>
          <w:rFonts w:ascii="Times New Roman" w:hAnsi="Times New Roman" w:cs="Times New Roman" w:hint="eastAsia"/>
        </w:rPr>
        <w:t>。</w:t>
      </w:r>
      <w:r w:rsidRPr="00C44D1F">
        <w:rPr>
          <w:rFonts w:ascii="Times New Roman" w:hAnsi="Times New Roman" w:cs="Times New Roman"/>
        </w:rPr>
        <w:t>但是本次交易期内</w:t>
      </w:r>
      <w:r w:rsidRPr="00C44D1F">
        <w:rPr>
          <w:rFonts w:ascii="Times New Roman" w:hAnsi="Times New Roman" w:cs="Times New Roman"/>
        </w:rPr>
        <w:t>ERP</w:t>
      </w:r>
      <w:r w:rsidRPr="00C44D1F">
        <w:rPr>
          <w:rFonts w:ascii="Times New Roman" w:hAnsi="Times New Roman" w:cs="Times New Roman"/>
        </w:rPr>
        <w:t>的取值并不是稳定的</w:t>
      </w:r>
      <w:r w:rsidR="00C44D1F">
        <w:rPr>
          <w:rFonts w:ascii="Times New Roman" w:hAnsi="Times New Roman" w:cs="Times New Roman" w:hint="eastAsia"/>
        </w:rPr>
        <w:t>，</w:t>
      </w:r>
      <w:r w:rsidRPr="00C44D1F">
        <w:rPr>
          <w:rFonts w:ascii="Times New Roman" w:hAnsi="Times New Roman" w:cs="Times New Roman"/>
        </w:rPr>
        <w:t>ERP</w:t>
      </w:r>
      <w:r w:rsidRPr="00C44D1F">
        <w:rPr>
          <w:rFonts w:ascii="Times New Roman" w:hAnsi="Times New Roman" w:cs="Times New Roman"/>
        </w:rPr>
        <w:t>取值的不确定性也为市场风险所要求的报酬的计算带来了相应的不确定性。</w:t>
      </w:r>
      <w:r w:rsidRPr="00C44D1F">
        <w:rPr>
          <w:rFonts w:ascii="Times New Roman" w:hAnsi="Times New Roman" w:cs="Times New Roman"/>
        </w:rPr>
        <w:t xml:space="preserve"> </w:t>
      </w:r>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3</w:t>
      </w:r>
      <w:r w:rsidRPr="00C44D1F">
        <w:rPr>
          <w:rFonts w:ascii="Times New Roman" w:hAnsi="Times New Roman" w:cs="Times New Roman"/>
          <w:b/>
        </w:rPr>
        <w:t>．</w:t>
      </w:r>
      <w:r w:rsidR="00C44D1F" w:rsidRPr="00C44D1F">
        <w:rPr>
          <w:rFonts w:ascii="Times New Roman" w:hAnsi="Times New Roman" w:cs="Times New Roman"/>
          <w:b/>
        </w:rPr>
        <w:t>β</w:t>
      </w:r>
      <w:r w:rsidRPr="00C44D1F">
        <w:rPr>
          <w:rFonts w:ascii="Times New Roman" w:hAnsi="Times New Roman" w:cs="Times New Roman"/>
          <w:b/>
        </w:rPr>
        <w:t>系数具有不确定性</w:t>
      </w:r>
    </w:p>
    <w:p w:rsidR="00F709B5" w:rsidRPr="00C44D1F" w:rsidRDefault="00C44D1F" w:rsidP="00F709B5">
      <w:pPr>
        <w:spacing w:line="360" w:lineRule="auto"/>
        <w:ind w:firstLineChars="200" w:firstLine="420"/>
        <w:rPr>
          <w:rFonts w:ascii="Times New Roman" w:hAnsi="Times New Roman" w:cs="Times New Roman"/>
        </w:rPr>
      </w:pPr>
      <w:r>
        <w:rPr>
          <w:rFonts w:ascii="Times New Roman" w:hAnsi="Times New Roman" w:cs="Times New Roman" w:hint="eastAsia"/>
        </w:rPr>
        <w:t>目前</w:t>
      </w:r>
      <w:r w:rsidRPr="00F709B5">
        <w:rPr>
          <w:rFonts w:ascii="Times New Roman" w:hAnsi="Times New Roman" w:cs="Times New Roman"/>
        </w:rPr>
        <w:t>β</w:t>
      </w:r>
      <w:r w:rsidR="00F709B5" w:rsidRPr="00C44D1F">
        <w:rPr>
          <w:rFonts w:ascii="Times New Roman" w:hAnsi="Times New Roman" w:cs="Times New Roman"/>
        </w:rPr>
        <w:t>系数的取值经常是股票市场</w:t>
      </w:r>
      <w:r>
        <w:rPr>
          <w:rFonts w:ascii="Times New Roman" w:hAnsi="Times New Roman" w:cs="Times New Roman" w:hint="eastAsia"/>
        </w:rPr>
        <w:t>上</w:t>
      </w:r>
      <w:r w:rsidR="00F709B5" w:rsidRPr="00C44D1F">
        <w:rPr>
          <w:rFonts w:ascii="Times New Roman" w:hAnsi="Times New Roman" w:cs="Times New Roman"/>
        </w:rPr>
        <w:t>所有的上市公司。这里的问题是：</w:t>
      </w:r>
      <w:r w:rsidRPr="00F709B5">
        <w:rPr>
          <w:rFonts w:ascii="Times New Roman" w:hAnsi="Times New Roman" w:cs="Times New Roman"/>
        </w:rPr>
        <w:t>β</w:t>
      </w:r>
      <w:r w:rsidR="00F709B5" w:rsidRPr="00C44D1F">
        <w:rPr>
          <w:rFonts w:ascii="Times New Roman" w:hAnsi="Times New Roman" w:cs="Times New Roman"/>
        </w:rPr>
        <w:t>系数不是稳定的，是随着时间而变动的，因此相对应的，市场风险所要求的回报率也是不确定的。</w:t>
      </w:r>
      <w:r w:rsidR="00F709B5" w:rsidRPr="00C44D1F">
        <w:rPr>
          <w:rFonts w:ascii="Times New Roman" w:hAnsi="Times New Roman" w:cs="Times New Roman"/>
        </w:rPr>
        <w:t xml:space="preserve"> </w:t>
      </w:r>
    </w:p>
    <w:p w:rsidR="00F709B5" w:rsidRPr="00C44D1F" w:rsidRDefault="00F709B5" w:rsidP="00F709B5">
      <w:pPr>
        <w:spacing w:line="360" w:lineRule="auto"/>
        <w:rPr>
          <w:rFonts w:ascii="Times New Roman" w:hAnsi="Times New Roman" w:cs="Times New Roman"/>
          <w:b/>
        </w:rPr>
      </w:pPr>
      <w:r w:rsidRPr="00C44D1F">
        <w:rPr>
          <w:rFonts w:ascii="Times New Roman" w:hAnsi="Times New Roman" w:cs="Times New Roman"/>
          <w:b/>
        </w:rPr>
        <w:t>4</w:t>
      </w:r>
      <w:r w:rsidRPr="00C44D1F">
        <w:rPr>
          <w:rFonts w:ascii="Times New Roman" w:hAnsi="Times New Roman" w:cs="Times New Roman"/>
          <w:b/>
        </w:rPr>
        <w:t>．</w:t>
      </w:r>
      <w:r w:rsidRPr="00C44D1F">
        <w:rPr>
          <w:rFonts w:ascii="Times New Roman" w:hAnsi="Times New Roman" w:cs="Times New Roman"/>
          <w:b/>
        </w:rPr>
        <w:t>CAPM</w:t>
      </w:r>
      <w:r w:rsidRPr="00C44D1F">
        <w:rPr>
          <w:rFonts w:ascii="Times New Roman" w:hAnsi="Times New Roman" w:cs="Times New Roman"/>
          <w:b/>
        </w:rPr>
        <w:t>模型运用中实际与假设的投资期不符</w:t>
      </w:r>
    </w:p>
    <w:p w:rsidR="0041327F" w:rsidRDefault="00F709B5" w:rsidP="00C44D1F">
      <w:pPr>
        <w:spacing w:line="360" w:lineRule="auto"/>
        <w:ind w:firstLineChars="200" w:firstLine="420"/>
        <w:rPr>
          <w:rFonts w:ascii="Times New Roman" w:hAnsi="Times New Roman" w:cs="Times New Roman"/>
        </w:rPr>
      </w:pPr>
      <w:r w:rsidRPr="00C44D1F">
        <w:rPr>
          <w:rFonts w:ascii="Times New Roman" w:hAnsi="Times New Roman" w:cs="Times New Roman"/>
        </w:rPr>
        <w:t>当</w:t>
      </w:r>
      <w:r w:rsidRPr="00C44D1F">
        <w:rPr>
          <w:rFonts w:ascii="Times New Roman" w:hAnsi="Times New Roman" w:cs="Times New Roman"/>
        </w:rPr>
        <w:t>CAPM</w:t>
      </w:r>
      <w:r w:rsidRPr="00C44D1F">
        <w:rPr>
          <w:rFonts w:ascii="Times New Roman" w:hAnsi="Times New Roman" w:cs="Times New Roman"/>
        </w:rPr>
        <w:t>模型运用于项目投资评估时，有一个相关的假设是规定投资的标准期是一年，但是这个假设与实际情况</w:t>
      </w:r>
      <w:r w:rsidR="00C44D1F">
        <w:rPr>
          <w:rFonts w:ascii="Times New Roman" w:hAnsi="Times New Roman" w:cs="Times New Roman" w:hint="eastAsia"/>
        </w:rPr>
        <w:t>也</w:t>
      </w:r>
      <w:r w:rsidRPr="00C44D1F">
        <w:rPr>
          <w:rFonts w:ascii="Times New Roman" w:hAnsi="Times New Roman" w:cs="Times New Roman"/>
        </w:rPr>
        <w:t>是不相符的。</w:t>
      </w:r>
    </w:p>
    <w:p w:rsidR="00865F1E" w:rsidRDefault="00865F1E" w:rsidP="00865F1E">
      <w:pPr>
        <w:spacing w:line="360" w:lineRule="auto"/>
        <w:rPr>
          <w:rFonts w:ascii="Times New Roman" w:hAnsi="Times New Roman" w:cs="Times New Roman"/>
        </w:rPr>
      </w:pPr>
    </w:p>
    <w:p w:rsidR="00865F1E" w:rsidRPr="004F492F" w:rsidRDefault="00865F1E" w:rsidP="00865F1E">
      <w:pPr>
        <w:pStyle w:val="1"/>
        <w:spacing w:before="0" w:after="0"/>
      </w:pPr>
      <w:bookmarkStart w:id="26" w:name="_Toc512116440"/>
      <w:r w:rsidRPr="00E51B41">
        <w:rPr>
          <w:rFonts w:hint="eastAsia"/>
        </w:rPr>
        <w:t>八、结论</w:t>
      </w:r>
      <w:bookmarkEnd w:id="26"/>
    </w:p>
    <w:p w:rsidR="00865F1E" w:rsidRDefault="00865F1E" w:rsidP="00415C05">
      <w:pPr>
        <w:spacing w:line="360" w:lineRule="auto"/>
        <w:ind w:firstLineChars="200" w:firstLine="420"/>
        <w:rPr>
          <w:rFonts w:ascii="Times New Roman" w:hAnsi="Times New Roman" w:cs="Times New Roman"/>
        </w:rPr>
      </w:pPr>
      <w:r>
        <w:rPr>
          <w:rFonts w:ascii="Times New Roman" w:hAnsi="Times New Roman" w:cs="Times New Roman" w:hint="eastAsia"/>
        </w:rPr>
        <w:t>结合</w:t>
      </w:r>
      <w:r w:rsidRPr="00865F1E">
        <w:rPr>
          <w:rFonts w:ascii="Times New Roman" w:hAnsi="Times New Roman" w:cs="Times New Roman" w:hint="eastAsia"/>
        </w:rPr>
        <w:t>均值</w:t>
      </w:r>
      <w:r w:rsidRPr="00865F1E">
        <w:rPr>
          <w:rFonts w:ascii="Times New Roman" w:hAnsi="Times New Roman" w:cs="Times New Roman"/>
        </w:rPr>
        <w:t>-</w:t>
      </w:r>
      <w:r w:rsidRPr="00865F1E">
        <w:rPr>
          <w:rFonts w:ascii="Times New Roman" w:hAnsi="Times New Roman" w:cs="Times New Roman"/>
        </w:rPr>
        <w:t>方差最优化理论</w:t>
      </w:r>
      <w:r>
        <w:rPr>
          <w:rFonts w:ascii="Times New Roman" w:hAnsi="Times New Roman" w:cs="Times New Roman" w:hint="eastAsia"/>
        </w:rPr>
        <w:t>和</w:t>
      </w:r>
      <w:r w:rsidRPr="00865F1E">
        <w:rPr>
          <w:rFonts w:ascii="Times New Roman" w:hAnsi="Times New Roman" w:cs="Times New Roman" w:hint="eastAsia"/>
        </w:rPr>
        <w:t>资本资产定价模型</w:t>
      </w:r>
      <w:r>
        <w:rPr>
          <w:rFonts w:ascii="Times New Roman" w:hAnsi="Times New Roman" w:cs="Times New Roman" w:hint="eastAsia"/>
        </w:rPr>
        <w:t>，运用</w:t>
      </w:r>
      <w:r>
        <w:rPr>
          <w:rFonts w:ascii="Times New Roman" w:hAnsi="Times New Roman" w:cs="Times New Roman" w:hint="eastAsia"/>
        </w:rPr>
        <w:t>R</w:t>
      </w:r>
      <w:r>
        <w:rPr>
          <w:rFonts w:ascii="Times New Roman" w:hAnsi="Times New Roman" w:cs="Times New Roman" w:hint="eastAsia"/>
        </w:rPr>
        <w:t>软件</w:t>
      </w:r>
      <w:proofErr w:type="gramStart"/>
      <w:r>
        <w:rPr>
          <w:rFonts w:ascii="Times New Roman" w:hAnsi="Times New Roman" w:cs="Times New Roman" w:hint="eastAsia"/>
        </w:rPr>
        <w:t>和优矿量化</w:t>
      </w:r>
      <w:proofErr w:type="gramEnd"/>
      <w:r>
        <w:rPr>
          <w:rFonts w:ascii="Times New Roman" w:hAnsi="Times New Roman" w:cs="Times New Roman" w:hint="eastAsia"/>
        </w:rPr>
        <w:t>平台，我们做出股票池</w:t>
      </w:r>
      <w:r>
        <w:rPr>
          <w:rFonts w:ascii="Times New Roman" w:hAnsi="Times New Roman" w:cs="Times New Roman" w:hint="eastAsia"/>
        </w:rPr>
        <w:t>p</w:t>
      </w:r>
      <w:r>
        <w:rPr>
          <w:rFonts w:ascii="Times New Roman" w:hAnsi="Times New Roman" w:cs="Times New Roman"/>
        </w:rPr>
        <w:t>ool</w:t>
      </w:r>
      <w:r>
        <w:rPr>
          <w:rFonts w:ascii="Times New Roman" w:hAnsi="Times New Roman" w:cs="Times New Roman" w:hint="eastAsia"/>
        </w:rPr>
        <w:t>（包含</w:t>
      </w:r>
      <w:r>
        <w:rPr>
          <w:rFonts w:ascii="Times New Roman" w:hAnsi="Times New Roman" w:cs="Times New Roman" w:hint="eastAsia"/>
        </w:rPr>
        <w:t>10</w:t>
      </w:r>
      <w:r>
        <w:rPr>
          <w:rFonts w:ascii="Times New Roman" w:hAnsi="Times New Roman" w:cs="Times New Roman" w:hint="eastAsia"/>
        </w:rPr>
        <w:t>只个股）和投资组合</w:t>
      </w:r>
      <w:r>
        <w:rPr>
          <w:rFonts w:ascii="Times New Roman" w:hAnsi="Times New Roman" w:cs="Times New Roman" w:hint="eastAsia"/>
        </w:rPr>
        <w:t>p</w:t>
      </w:r>
      <w:r>
        <w:rPr>
          <w:rFonts w:ascii="Times New Roman" w:hAnsi="Times New Roman" w:cs="Times New Roman"/>
        </w:rPr>
        <w:t>ortfolio</w:t>
      </w:r>
      <w:r>
        <w:rPr>
          <w:rFonts w:ascii="Times New Roman" w:hAnsi="Times New Roman" w:cs="Times New Roman" w:hint="eastAsia"/>
        </w:rPr>
        <w:t>（包含</w:t>
      </w:r>
      <w:r>
        <w:rPr>
          <w:rFonts w:ascii="Times New Roman" w:hAnsi="Times New Roman" w:cs="Times New Roman" w:hint="eastAsia"/>
        </w:rPr>
        <w:t>3</w:t>
      </w:r>
      <w:r>
        <w:rPr>
          <w:rFonts w:ascii="Times New Roman" w:hAnsi="Times New Roman" w:cs="Times New Roman" w:hint="eastAsia"/>
        </w:rPr>
        <w:t>只个股）。根据</w:t>
      </w:r>
      <w:r>
        <w:rPr>
          <w:rFonts w:ascii="Times New Roman" w:hAnsi="Times New Roman" w:cs="Times New Roman" w:hint="eastAsia"/>
        </w:rPr>
        <w:t>3</w:t>
      </w:r>
      <w:r>
        <w:rPr>
          <w:rFonts w:ascii="Times New Roman" w:hAnsi="Times New Roman" w:cs="Times New Roman" w:hint="eastAsia"/>
        </w:rPr>
        <w:t>月的</w:t>
      </w:r>
      <w:proofErr w:type="gramStart"/>
      <w:r>
        <w:rPr>
          <w:rFonts w:ascii="Times New Roman" w:hAnsi="Times New Roman" w:cs="Times New Roman" w:hint="eastAsia"/>
        </w:rPr>
        <w:t>策略回测结果</w:t>
      </w:r>
      <w:proofErr w:type="gramEnd"/>
      <w:r>
        <w:rPr>
          <w:rFonts w:ascii="Times New Roman" w:hAnsi="Times New Roman" w:cs="Times New Roman" w:hint="eastAsia"/>
        </w:rPr>
        <w:t>的反馈，我们发现</w:t>
      </w:r>
      <w:r w:rsidR="003E6EA0">
        <w:rPr>
          <w:rFonts w:ascii="Times New Roman" w:hAnsi="Times New Roman" w:cs="Times New Roman" w:hint="eastAsia"/>
        </w:rPr>
        <w:t>基于</w:t>
      </w:r>
      <w:r>
        <w:rPr>
          <w:rFonts w:ascii="Times New Roman" w:hAnsi="Times New Roman" w:cs="Times New Roman" w:hint="eastAsia"/>
        </w:rPr>
        <w:t>股票池</w:t>
      </w:r>
      <w:r>
        <w:rPr>
          <w:rFonts w:ascii="Times New Roman" w:hAnsi="Times New Roman" w:cs="Times New Roman" w:hint="eastAsia"/>
        </w:rPr>
        <w:t>p</w:t>
      </w:r>
      <w:r>
        <w:rPr>
          <w:rFonts w:ascii="Times New Roman" w:hAnsi="Times New Roman" w:cs="Times New Roman"/>
        </w:rPr>
        <w:t>ool</w:t>
      </w:r>
      <w:r w:rsidR="003E6EA0">
        <w:rPr>
          <w:rFonts w:ascii="Times New Roman" w:hAnsi="Times New Roman" w:cs="Times New Roman" w:hint="eastAsia"/>
        </w:rPr>
        <w:t>构建的动态交易策略在该月份绝大多数（</w:t>
      </w:r>
      <w:r w:rsidR="00B74787">
        <w:rPr>
          <w:rFonts w:ascii="Times New Roman" w:hAnsi="Times New Roman" w:cs="Times New Roman" w:hint="eastAsia"/>
        </w:rPr>
        <w:t>63.64</w:t>
      </w:r>
      <w:r w:rsidR="003E6EA0">
        <w:rPr>
          <w:rFonts w:ascii="Times New Roman" w:hAnsi="Times New Roman" w:cs="Times New Roman" w:hint="eastAsia"/>
        </w:rPr>
        <w:t>%</w:t>
      </w:r>
      <w:r w:rsidR="003E6EA0">
        <w:rPr>
          <w:rFonts w:ascii="Times New Roman" w:hAnsi="Times New Roman" w:cs="Times New Roman" w:hint="eastAsia"/>
        </w:rPr>
        <w:t>）交易</w:t>
      </w:r>
      <w:proofErr w:type="gramStart"/>
      <w:r w:rsidR="003E6EA0">
        <w:rPr>
          <w:rFonts w:ascii="Times New Roman" w:hAnsi="Times New Roman" w:cs="Times New Roman" w:hint="eastAsia"/>
        </w:rPr>
        <w:t>日中均</w:t>
      </w:r>
      <w:proofErr w:type="gramEnd"/>
      <w:r w:rsidR="003E6EA0">
        <w:rPr>
          <w:rFonts w:ascii="Times New Roman" w:hAnsi="Times New Roman" w:cs="Times New Roman" w:hint="eastAsia"/>
        </w:rPr>
        <w:t>可取得高于基准收益率（由沪深</w:t>
      </w:r>
      <w:r w:rsidR="003E6EA0">
        <w:rPr>
          <w:rFonts w:ascii="Times New Roman" w:hAnsi="Times New Roman" w:cs="Times New Roman" w:hint="eastAsia"/>
        </w:rPr>
        <w:t>300</w:t>
      </w:r>
      <w:r w:rsidR="003E6EA0">
        <w:rPr>
          <w:rFonts w:ascii="Times New Roman" w:hAnsi="Times New Roman" w:cs="Times New Roman" w:hint="eastAsia"/>
        </w:rPr>
        <w:t>指数确定）的超额回报，其中，相对收益率显示最高水平为</w:t>
      </w:r>
      <w:r w:rsidR="003E6EA0">
        <w:rPr>
          <w:rFonts w:ascii="Times New Roman" w:hAnsi="Times New Roman" w:cs="Times New Roman" w:hint="eastAsia"/>
        </w:rPr>
        <w:t>10.78%</w:t>
      </w:r>
      <w:r w:rsidR="003E6EA0">
        <w:rPr>
          <w:rFonts w:ascii="Times New Roman" w:hAnsi="Times New Roman" w:cs="Times New Roman" w:hint="eastAsia"/>
        </w:rPr>
        <w:t>（</w:t>
      </w:r>
      <w:r w:rsidR="003E6EA0">
        <w:rPr>
          <w:rFonts w:ascii="Times New Roman" w:hAnsi="Times New Roman" w:cs="Times New Roman" w:hint="eastAsia"/>
        </w:rPr>
        <w:t>3</w:t>
      </w:r>
      <w:r w:rsidR="003E6EA0">
        <w:rPr>
          <w:rFonts w:ascii="Times New Roman" w:hAnsi="Times New Roman" w:cs="Times New Roman" w:hint="eastAsia"/>
        </w:rPr>
        <w:t>月</w:t>
      </w:r>
      <w:r w:rsidR="003E6EA0">
        <w:rPr>
          <w:rFonts w:ascii="Times New Roman" w:hAnsi="Times New Roman" w:cs="Times New Roman" w:hint="eastAsia"/>
        </w:rPr>
        <w:t>7</w:t>
      </w:r>
      <w:r w:rsidR="003E6EA0">
        <w:rPr>
          <w:rFonts w:ascii="Times New Roman" w:hAnsi="Times New Roman" w:cs="Times New Roman" w:hint="eastAsia"/>
        </w:rPr>
        <w:t>日），最低水平为</w:t>
      </w:r>
      <w:r w:rsidR="003E6EA0">
        <w:rPr>
          <w:rFonts w:ascii="Times New Roman" w:hAnsi="Times New Roman" w:cs="Times New Roman" w:hint="eastAsia"/>
        </w:rPr>
        <w:t>-6.51%</w:t>
      </w:r>
      <w:r w:rsidR="003E6EA0">
        <w:rPr>
          <w:rFonts w:ascii="Times New Roman" w:hAnsi="Times New Roman" w:cs="Times New Roman" w:hint="eastAsia"/>
        </w:rPr>
        <w:t>（</w:t>
      </w:r>
      <w:r w:rsidR="003E6EA0">
        <w:rPr>
          <w:rFonts w:ascii="Times New Roman" w:hAnsi="Times New Roman" w:cs="Times New Roman" w:hint="eastAsia"/>
        </w:rPr>
        <w:t>3</w:t>
      </w:r>
      <w:r w:rsidR="003E6EA0">
        <w:rPr>
          <w:rFonts w:ascii="Times New Roman" w:hAnsi="Times New Roman" w:cs="Times New Roman" w:hint="eastAsia"/>
        </w:rPr>
        <w:t>月</w:t>
      </w:r>
      <w:r w:rsidR="003E6EA0">
        <w:rPr>
          <w:rFonts w:ascii="Times New Roman" w:hAnsi="Times New Roman" w:cs="Times New Roman" w:hint="eastAsia"/>
        </w:rPr>
        <w:t>23</w:t>
      </w:r>
      <w:r w:rsidR="003E6EA0">
        <w:rPr>
          <w:rFonts w:ascii="Times New Roman" w:hAnsi="Times New Roman" w:cs="Times New Roman" w:hint="eastAsia"/>
        </w:rPr>
        <w:t>日），总体相对收益</w:t>
      </w:r>
      <w:r w:rsidR="00B74787">
        <w:rPr>
          <w:rFonts w:ascii="Times New Roman" w:hAnsi="Times New Roman" w:cs="Times New Roman" w:hint="eastAsia"/>
        </w:rPr>
        <w:t>达到</w:t>
      </w:r>
      <w:r w:rsidR="00B74787">
        <w:rPr>
          <w:rFonts w:ascii="Times New Roman" w:hAnsi="Times New Roman" w:cs="Times New Roman" w:hint="eastAsia"/>
        </w:rPr>
        <w:t>2.77%</w:t>
      </w:r>
      <w:r w:rsidR="00B74787">
        <w:rPr>
          <w:rFonts w:ascii="Times New Roman" w:hAnsi="Times New Roman" w:cs="Times New Roman" w:hint="eastAsia"/>
        </w:rPr>
        <w:t>，优于市场表现。</w:t>
      </w:r>
    </w:p>
    <w:p w:rsidR="00B74787" w:rsidRDefault="00B74787" w:rsidP="00415C05">
      <w:pPr>
        <w:spacing w:line="360" w:lineRule="auto"/>
        <w:ind w:firstLineChars="200" w:firstLine="420"/>
        <w:rPr>
          <w:rFonts w:ascii="Times New Roman" w:hAnsi="Times New Roman" w:cs="Times New Roman"/>
        </w:rPr>
      </w:pPr>
      <w:r>
        <w:rPr>
          <w:rFonts w:ascii="Times New Roman" w:hAnsi="Times New Roman" w:cs="Times New Roman" w:hint="eastAsia"/>
        </w:rPr>
        <w:t>基于具有一定风险偏好的投资者假定，我们选择在</w:t>
      </w:r>
      <w:r w:rsidRPr="00B74787">
        <w:rPr>
          <w:rFonts w:ascii="Times New Roman" w:hAnsi="Times New Roman" w:cs="Times New Roman"/>
        </w:rPr>
        <w:t>策略收益率</w:t>
      </w:r>
      <w:r>
        <w:rPr>
          <w:rFonts w:ascii="Times New Roman" w:hAnsi="Times New Roman" w:cs="Times New Roman" w:hint="eastAsia"/>
        </w:rPr>
        <w:t>高于</w:t>
      </w:r>
      <w:r w:rsidRPr="00B74787">
        <w:rPr>
          <w:rFonts w:ascii="Times New Roman" w:hAnsi="Times New Roman" w:cs="Times New Roman"/>
        </w:rPr>
        <w:t>基准收益率</w:t>
      </w:r>
      <w:r>
        <w:rPr>
          <w:rFonts w:ascii="Times New Roman" w:hAnsi="Times New Roman" w:cs="Times New Roman" w:hint="eastAsia"/>
        </w:rPr>
        <w:t>的</w:t>
      </w:r>
      <w:r>
        <w:rPr>
          <w:rFonts w:ascii="Times New Roman" w:hAnsi="Times New Roman" w:cs="Times New Roman" w:hint="eastAsia"/>
        </w:rPr>
        <w:t>3</w:t>
      </w:r>
      <w:r>
        <w:rPr>
          <w:rFonts w:ascii="Times New Roman" w:hAnsi="Times New Roman" w:cs="Times New Roman" w:hint="eastAsia"/>
        </w:rPr>
        <w:t>月</w:t>
      </w:r>
      <w:r>
        <w:rPr>
          <w:rFonts w:ascii="Times New Roman" w:hAnsi="Times New Roman" w:cs="Times New Roman" w:hint="eastAsia"/>
        </w:rPr>
        <w:t>1</w:t>
      </w:r>
      <w:r>
        <w:rPr>
          <w:rFonts w:ascii="Times New Roman" w:hAnsi="Times New Roman" w:cs="Times New Roman" w:hint="eastAsia"/>
        </w:rPr>
        <w:t>日</w:t>
      </w:r>
      <w:r w:rsidRPr="00B74787">
        <w:rPr>
          <w:rFonts w:ascii="Times New Roman" w:hAnsi="Times New Roman" w:cs="Times New Roman"/>
        </w:rPr>
        <w:t>至</w:t>
      </w:r>
      <w:r w:rsidRPr="00B74787">
        <w:rPr>
          <w:rFonts w:ascii="Times New Roman" w:hAnsi="Times New Roman" w:cs="Times New Roman"/>
        </w:rPr>
        <w:t>3</w:t>
      </w:r>
      <w:r w:rsidRPr="00B74787">
        <w:rPr>
          <w:rFonts w:ascii="Times New Roman" w:hAnsi="Times New Roman" w:cs="Times New Roman"/>
        </w:rPr>
        <w:t>月</w:t>
      </w:r>
      <w:r w:rsidRPr="00B74787">
        <w:rPr>
          <w:rFonts w:ascii="Times New Roman" w:hAnsi="Times New Roman" w:cs="Times New Roman"/>
        </w:rPr>
        <w:t>14</w:t>
      </w:r>
      <w:r w:rsidRPr="00B74787">
        <w:rPr>
          <w:rFonts w:ascii="Times New Roman" w:hAnsi="Times New Roman" w:cs="Times New Roman"/>
        </w:rPr>
        <w:t>日</w:t>
      </w:r>
      <w:r>
        <w:rPr>
          <w:rFonts w:ascii="Times New Roman" w:hAnsi="Times New Roman" w:cs="Times New Roman" w:hint="eastAsia"/>
        </w:rPr>
        <w:t>，和</w:t>
      </w:r>
      <w:r w:rsidRPr="00B74787">
        <w:rPr>
          <w:rFonts w:ascii="Times New Roman" w:hAnsi="Times New Roman" w:cs="Times New Roman"/>
        </w:rPr>
        <w:t>3</w:t>
      </w:r>
      <w:r w:rsidRPr="00B74787">
        <w:rPr>
          <w:rFonts w:ascii="Times New Roman" w:hAnsi="Times New Roman" w:cs="Times New Roman"/>
        </w:rPr>
        <w:t>月</w:t>
      </w:r>
      <w:r w:rsidRPr="00B74787">
        <w:rPr>
          <w:rFonts w:ascii="Times New Roman" w:hAnsi="Times New Roman" w:cs="Times New Roman"/>
        </w:rPr>
        <w:t>24</w:t>
      </w:r>
      <w:r w:rsidRPr="00B74787">
        <w:rPr>
          <w:rFonts w:ascii="Times New Roman" w:hAnsi="Times New Roman" w:cs="Times New Roman"/>
        </w:rPr>
        <w:t>日至</w:t>
      </w:r>
      <w:r w:rsidRPr="00B74787">
        <w:rPr>
          <w:rFonts w:ascii="Times New Roman" w:hAnsi="Times New Roman" w:cs="Times New Roman"/>
        </w:rPr>
        <w:t>3</w:t>
      </w:r>
      <w:r w:rsidRPr="00B74787">
        <w:rPr>
          <w:rFonts w:ascii="Times New Roman" w:hAnsi="Times New Roman" w:cs="Times New Roman"/>
        </w:rPr>
        <w:t>月</w:t>
      </w:r>
      <w:r w:rsidRPr="00B74787">
        <w:rPr>
          <w:rFonts w:ascii="Times New Roman" w:hAnsi="Times New Roman" w:cs="Times New Roman"/>
        </w:rPr>
        <w:t>31</w:t>
      </w:r>
      <w:r w:rsidRPr="00B74787">
        <w:rPr>
          <w:rFonts w:ascii="Times New Roman" w:hAnsi="Times New Roman" w:cs="Times New Roman"/>
        </w:rPr>
        <w:t>日的交易日期间，依照</w:t>
      </w:r>
      <w:r>
        <w:rPr>
          <w:rFonts w:ascii="Times New Roman" w:hAnsi="Times New Roman" w:cs="Times New Roman" w:hint="eastAsia"/>
        </w:rPr>
        <w:t>动态策略</w:t>
      </w:r>
      <w:r w:rsidRPr="00B74787">
        <w:rPr>
          <w:rFonts w:ascii="Times New Roman" w:hAnsi="Times New Roman" w:cs="Times New Roman"/>
        </w:rPr>
        <w:t>的</w:t>
      </w:r>
      <w:r>
        <w:rPr>
          <w:rFonts w:ascii="Times New Roman" w:hAnsi="Times New Roman" w:cs="Times New Roman" w:hint="eastAsia"/>
        </w:rPr>
        <w:t>下单</w:t>
      </w:r>
      <w:r w:rsidRPr="00B74787">
        <w:rPr>
          <w:rFonts w:ascii="Times New Roman" w:hAnsi="Times New Roman" w:cs="Times New Roman"/>
        </w:rPr>
        <w:t>指示</w:t>
      </w:r>
      <w:r>
        <w:rPr>
          <w:rFonts w:ascii="Times New Roman" w:hAnsi="Times New Roman" w:cs="Times New Roman" w:hint="eastAsia"/>
        </w:rPr>
        <w:t>，调整</w:t>
      </w:r>
      <w:r w:rsidRPr="00B74787">
        <w:rPr>
          <w:rFonts w:ascii="Times New Roman" w:hAnsi="Times New Roman" w:cs="Times New Roman"/>
        </w:rPr>
        <w:t>股票池</w:t>
      </w:r>
      <w:r w:rsidRPr="00B74787">
        <w:rPr>
          <w:rFonts w:ascii="Times New Roman" w:hAnsi="Times New Roman" w:cs="Times New Roman"/>
        </w:rPr>
        <w:t>pool</w:t>
      </w:r>
      <w:r>
        <w:rPr>
          <w:rFonts w:ascii="Times New Roman" w:hAnsi="Times New Roman" w:cs="Times New Roman" w:hint="eastAsia"/>
        </w:rPr>
        <w:t>的持仓比例，以期获得超额回报</w:t>
      </w:r>
      <w:r w:rsidRPr="00B74787">
        <w:rPr>
          <w:rFonts w:ascii="Times New Roman" w:hAnsi="Times New Roman" w:cs="Times New Roman"/>
        </w:rPr>
        <w:t>；而在策略收益率</w:t>
      </w:r>
      <w:r>
        <w:rPr>
          <w:rFonts w:ascii="Times New Roman" w:hAnsi="Times New Roman" w:cs="Times New Roman" w:hint="eastAsia"/>
        </w:rPr>
        <w:t>低于</w:t>
      </w:r>
      <w:r w:rsidRPr="00B74787">
        <w:rPr>
          <w:rFonts w:ascii="Times New Roman" w:hAnsi="Times New Roman" w:cs="Times New Roman"/>
        </w:rPr>
        <w:t>基准收益率</w:t>
      </w:r>
      <w:r>
        <w:rPr>
          <w:rFonts w:ascii="Times New Roman" w:hAnsi="Times New Roman" w:cs="Times New Roman" w:hint="eastAsia"/>
        </w:rPr>
        <w:t>的</w:t>
      </w:r>
      <w:r w:rsidRPr="00B74787">
        <w:rPr>
          <w:rFonts w:ascii="Times New Roman" w:hAnsi="Times New Roman" w:cs="Times New Roman"/>
        </w:rPr>
        <w:t>3</w:t>
      </w:r>
      <w:r w:rsidRPr="00B74787">
        <w:rPr>
          <w:rFonts w:ascii="Times New Roman" w:hAnsi="Times New Roman" w:cs="Times New Roman"/>
        </w:rPr>
        <w:t>月</w:t>
      </w:r>
      <w:r w:rsidRPr="00B74787">
        <w:rPr>
          <w:rFonts w:ascii="Times New Roman" w:hAnsi="Times New Roman" w:cs="Times New Roman"/>
        </w:rPr>
        <w:t>15</w:t>
      </w:r>
      <w:r w:rsidRPr="00B74787">
        <w:rPr>
          <w:rFonts w:ascii="Times New Roman" w:hAnsi="Times New Roman" w:cs="Times New Roman"/>
        </w:rPr>
        <w:t>日至</w:t>
      </w:r>
      <w:r w:rsidRPr="00B74787">
        <w:rPr>
          <w:rFonts w:ascii="Times New Roman" w:hAnsi="Times New Roman" w:cs="Times New Roman"/>
        </w:rPr>
        <w:t>3</w:t>
      </w:r>
      <w:r w:rsidRPr="00B74787">
        <w:rPr>
          <w:rFonts w:ascii="Times New Roman" w:hAnsi="Times New Roman" w:cs="Times New Roman"/>
        </w:rPr>
        <w:t>月</w:t>
      </w:r>
      <w:r w:rsidRPr="00B74787">
        <w:rPr>
          <w:rFonts w:ascii="Times New Roman" w:hAnsi="Times New Roman" w:cs="Times New Roman"/>
        </w:rPr>
        <w:t>23</w:t>
      </w:r>
      <w:r w:rsidRPr="00B74787">
        <w:rPr>
          <w:rFonts w:ascii="Times New Roman" w:hAnsi="Times New Roman" w:cs="Times New Roman"/>
        </w:rPr>
        <w:t>日的交易日期间，</w:t>
      </w:r>
      <w:r>
        <w:rPr>
          <w:rFonts w:ascii="Times New Roman" w:hAnsi="Times New Roman" w:cs="Times New Roman" w:hint="eastAsia"/>
        </w:rPr>
        <w:t>按照求解均值</w:t>
      </w:r>
      <w:r>
        <w:rPr>
          <w:rFonts w:ascii="Times New Roman" w:hAnsi="Times New Roman" w:cs="Times New Roman" w:hint="eastAsia"/>
        </w:rPr>
        <w:t>-</w:t>
      </w:r>
      <w:r>
        <w:rPr>
          <w:rFonts w:ascii="Times New Roman" w:hAnsi="Times New Roman" w:cs="Times New Roman" w:hint="eastAsia"/>
        </w:rPr>
        <w:t>方差最优化方程确定的</w:t>
      </w:r>
      <w:r w:rsidRPr="00B74787">
        <w:rPr>
          <w:rFonts w:ascii="Times New Roman" w:hAnsi="Times New Roman" w:cs="Times New Roman"/>
        </w:rPr>
        <w:t>最优风险权重持有投资组合</w:t>
      </w:r>
      <w:r w:rsidRPr="00B74787">
        <w:rPr>
          <w:rFonts w:ascii="Times New Roman" w:hAnsi="Times New Roman" w:cs="Times New Roman"/>
        </w:rPr>
        <w:t>portfolio</w:t>
      </w:r>
      <w:r>
        <w:rPr>
          <w:rFonts w:ascii="Times New Roman" w:hAnsi="Times New Roman" w:cs="Times New Roman" w:hint="eastAsia"/>
        </w:rPr>
        <w:t>，以期获得无风险回报。</w:t>
      </w:r>
    </w:p>
    <w:p w:rsidR="00B74787" w:rsidRDefault="00B74787" w:rsidP="00415C05">
      <w:pPr>
        <w:spacing w:line="360" w:lineRule="auto"/>
        <w:ind w:firstLineChars="200" w:firstLine="420"/>
        <w:rPr>
          <w:rFonts w:ascii="Times New Roman" w:hAnsi="Times New Roman" w:cs="Times New Roman"/>
        </w:rPr>
      </w:pPr>
      <w:r>
        <w:rPr>
          <w:rFonts w:ascii="Times New Roman" w:hAnsi="Times New Roman" w:cs="Times New Roman" w:hint="eastAsia"/>
        </w:rPr>
        <w:t>根据对</w:t>
      </w:r>
      <w:r w:rsidR="00A130F4">
        <w:rPr>
          <w:rFonts w:ascii="Times New Roman" w:hAnsi="Times New Roman" w:cs="Times New Roman" w:hint="eastAsia"/>
        </w:rPr>
        <w:t>投资组合</w:t>
      </w:r>
      <w:r w:rsidR="00A130F4">
        <w:rPr>
          <w:rFonts w:ascii="Times New Roman" w:hAnsi="Times New Roman" w:cs="Times New Roman" w:hint="eastAsia"/>
        </w:rPr>
        <w:t>portfolio</w:t>
      </w:r>
      <w:r w:rsidR="00A130F4">
        <w:rPr>
          <w:rFonts w:ascii="Times New Roman" w:hAnsi="Times New Roman" w:cs="Times New Roman" w:hint="eastAsia"/>
        </w:rPr>
        <w:t>中三只个股：</w:t>
      </w:r>
      <w:r w:rsidRPr="00B74787">
        <w:rPr>
          <w:rFonts w:ascii="Times New Roman" w:hAnsi="Times New Roman" w:cs="Times New Roman" w:hint="eastAsia"/>
        </w:rPr>
        <w:t>中国铝业（</w:t>
      </w:r>
      <w:r w:rsidRPr="00B74787">
        <w:rPr>
          <w:rFonts w:ascii="Times New Roman" w:hAnsi="Times New Roman" w:cs="Times New Roman"/>
        </w:rPr>
        <w:t>601600</w:t>
      </w:r>
      <w:r w:rsidRPr="00B74787">
        <w:rPr>
          <w:rFonts w:ascii="Times New Roman" w:hAnsi="Times New Roman" w:cs="Times New Roman"/>
        </w:rPr>
        <w:t>）</w:t>
      </w:r>
      <w:r>
        <w:rPr>
          <w:rFonts w:ascii="Times New Roman" w:hAnsi="Times New Roman" w:cs="Times New Roman" w:hint="eastAsia"/>
        </w:rPr>
        <w:t>、</w:t>
      </w:r>
      <w:r w:rsidRPr="00B74787">
        <w:rPr>
          <w:rFonts w:ascii="Times New Roman" w:hAnsi="Times New Roman" w:cs="Times New Roman" w:hint="eastAsia"/>
        </w:rPr>
        <w:t>中电电机（</w:t>
      </w:r>
      <w:r w:rsidRPr="00B74787">
        <w:rPr>
          <w:rFonts w:ascii="Times New Roman" w:hAnsi="Times New Roman" w:cs="Times New Roman"/>
        </w:rPr>
        <w:t>603988</w:t>
      </w:r>
      <w:r w:rsidRPr="00B74787">
        <w:rPr>
          <w:rFonts w:ascii="Times New Roman" w:hAnsi="Times New Roman" w:cs="Times New Roman"/>
        </w:rPr>
        <w:t>）</w:t>
      </w:r>
      <w:r>
        <w:rPr>
          <w:rFonts w:ascii="Times New Roman" w:hAnsi="Times New Roman" w:cs="Times New Roman" w:hint="eastAsia"/>
        </w:rPr>
        <w:t>、</w:t>
      </w:r>
      <w:r w:rsidRPr="00B74787">
        <w:rPr>
          <w:rFonts w:ascii="Times New Roman" w:hAnsi="Times New Roman" w:cs="Times New Roman" w:hint="eastAsia"/>
        </w:rPr>
        <w:t>宁波精达（</w:t>
      </w:r>
      <w:r w:rsidRPr="00B74787">
        <w:rPr>
          <w:rFonts w:ascii="Times New Roman" w:hAnsi="Times New Roman" w:cs="Times New Roman"/>
        </w:rPr>
        <w:t>603088</w:t>
      </w:r>
      <w:r w:rsidRPr="00B74787">
        <w:rPr>
          <w:rFonts w:ascii="Times New Roman" w:hAnsi="Times New Roman" w:cs="Times New Roman"/>
        </w:rPr>
        <w:t>）</w:t>
      </w:r>
      <w:r w:rsidR="00A130F4">
        <w:rPr>
          <w:rFonts w:ascii="Times New Roman" w:hAnsi="Times New Roman" w:cs="Times New Roman" w:hint="eastAsia"/>
        </w:rPr>
        <w:t>的深入分析，我们发现：</w:t>
      </w:r>
    </w:p>
    <w:p w:rsidR="00A130F4" w:rsidRDefault="00A130F4" w:rsidP="00B74787">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B74787">
        <w:rPr>
          <w:rFonts w:ascii="Times New Roman" w:hAnsi="Times New Roman" w:cs="Times New Roman" w:hint="eastAsia"/>
        </w:rPr>
        <w:t>中国铝业（</w:t>
      </w:r>
      <w:r w:rsidRPr="00B74787">
        <w:rPr>
          <w:rFonts w:ascii="Times New Roman" w:hAnsi="Times New Roman" w:cs="Times New Roman"/>
        </w:rPr>
        <w:t>601600</w:t>
      </w:r>
      <w:r w:rsidRPr="00B74787">
        <w:rPr>
          <w:rFonts w:ascii="Times New Roman" w:hAnsi="Times New Roman" w:cs="Times New Roman"/>
        </w:rPr>
        <w:t>）</w:t>
      </w:r>
      <w:r w:rsidRPr="00A130F4">
        <w:rPr>
          <w:rFonts w:ascii="Times New Roman" w:hAnsi="Times New Roman" w:cs="Times New Roman"/>
        </w:rPr>
        <w:t>在有色金属行业中表现较为突出</w:t>
      </w:r>
      <w:r>
        <w:rPr>
          <w:rFonts w:ascii="Times New Roman" w:hAnsi="Times New Roman" w:cs="Times New Roman" w:hint="eastAsia"/>
        </w:rPr>
        <w:t>，而</w:t>
      </w:r>
      <w:r w:rsidRPr="00A130F4">
        <w:rPr>
          <w:rFonts w:ascii="Times New Roman" w:hAnsi="Times New Roman" w:cs="Times New Roman" w:hint="eastAsia"/>
        </w:rPr>
        <w:t>有色金属行业在整体上证</w:t>
      </w:r>
      <w:r w:rsidRPr="00A130F4">
        <w:rPr>
          <w:rFonts w:ascii="Times New Roman" w:hAnsi="Times New Roman" w:cs="Times New Roman"/>
        </w:rPr>
        <w:t>300</w:t>
      </w:r>
      <w:r w:rsidRPr="00A130F4">
        <w:rPr>
          <w:rFonts w:ascii="Times New Roman" w:hAnsi="Times New Roman" w:cs="Times New Roman"/>
        </w:rPr>
        <w:t>中</w:t>
      </w:r>
      <w:r>
        <w:rPr>
          <w:rFonts w:ascii="Times New Roman" w:hAnsi="Times New Roman" w:cs="Times New Roman" w:hint="eastAsia"/>
        </w:rPr>
        <w:t>也</w:t>
      </w:r>
      <w:r w:rsidRPr="00A130F4">
        <w:rPr>
          <w:rFonts w:ascii="Times New Roman" w:hAnsi="Times New Roman" w:cs="Times New Roman"/>
        </w:rPr>
        <w:t>表现良好，</w:t>
      </w:r>
      <w:r w:rsidR="00E12DF6">
        <w:rPr>
          <w:rFonts w:ascii="Times New Roman" w:hAnsi="Times New Roman" w:cs="Times New Roman" w:hint="eastAsia"/>
        </w:rPr>
        <w:t>宏观上有</w:t>
      </w:r>
      <w:r w:rsidRPr="00A130F4">
        <w:rPr>
          <w:rFonts w:ascii="Times New Roman" w:hAnsi="Times New Roman" w:cs="Times New Roman" w:hint="eastAsia"/>
        </w:rPr>
        <w:t>电解铝行业的供给</w:t>
      </w:r>
      <w:proofErr w:type="gramStart"/>
      <w:r w:rsidRPr="00A130F4">
        <w:rPr>
          <w:rFonts w:ascii="Times New Roman" w:hAnsi="Times New Roman" w:cs="Times New Roman" w:hint="eastAsia"/>
        </w:rPr>
        <w:t>侧改革</w:t>
      </w:r>
      <w:proofErr w:type="gramEnd"/>
      <w:r w:rsidRPr="00A130F4">
        <w:rPr>
          <w:rFonts w:ascii="Times New Roman" w:hAnsi="Times New Roman" w:cs="Times New Roman" w:hint="eastAsia"/>
        </w:rPr>
        <w:t>和宏观经济回暖趋势提振消费</w:t>
      </w:r>
      <w:r>
        <w:rPr>
          <w:rFonts w:ascii="Times New Roman" w:hAnsi="Times New Roman" w:cs="Times New Roman" w:hint="eastAsia"/>
        </w:rPr>
        <w:t>，</w:t>
      </w:r>
      <w:r w:rsidR="00E12DF6">
        <w:rPr>
          <w:rFonts w:ascii="Times New Roman" w:hAnsi="Times New Roman" w:cs="Times New Roman" w:hint="eastAsia"/>
        </w:rPr>
        <w:t>微观上该</w:t>
      </w:r>
      <w:r w:rsidRPr="00A130F4">
        <w:rPr>
          <w:rFonts w:ascii="Times New Roman" w:hAnsi="Times New Roman" w:cs="Times New Roman" w:hint="eastAsia"/>
        </w:rPr>
        <w:t>公司进行债转</w:t>
      </w:r>
      <w:proofErr w:type="gramStart"/>
      <w:r w:rsidRPr="00A130F4">
        <w:rPr>
          <w:rFonts w:ascii="Times New Roman" w:hAnsi="Times New Roman" w:cs="Times New Roman" w:hint="eastAsia"/>
        </w:rPr>
        <w:t>股降低</w:t>
      </w:r>
      <w:proofErr w:type="gramEnd"/>
      <w:r w:rsidRPr="00A130F4">
        <w:rPr>
          <w:rFonts w:ascii="Times New Roman" w:hAnsi="Times New Roman" w:cs="Times New Roman" w:hint="eastAsia"/>
        </w:rPr>
        <w:t>杠杆资本结构优化</w:t>
      </w:r>
      <w:r>
        <w:rPr>
          <w:rFonts w:ascii="Times New Roman" w:hAnsi="Times New Roman" w:cs="Times New Roman" w:hint="eastAsia"/>
        </w:rPr>
        <w:t>，</w:t>
      </w:r>
      <w:r w:rsidRPr="00A130F4">
        <w:rPr>
          <w:rFonts w:ascii="Times New Roman" w:hAnsi="Times New Roman" w:cs="Times New Roman" w:hint="eastAsia"/>
        </w:rPr>
        <w:t>具有较好的发展潜力</w:t>
      </w:r>
      <w:r>
        <w:rPr>
          <w:rFonts w:ascii="Times New Roman" w:hAnsi="Times New Roman" w:cs="Times New Roman" w:hint="eastAsia"/>
        </w:rPr>
        <w:t>；</w:t>
      </w:r>
    </w:p>
    <w:p w:rsidR="00A130F4" w:rsidRDefault="00A130F4" w:rsidP="00B74787">
      <w:pPr>
        <w:spacing w:line="36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Pr="00B74787">
        <w:rPr>
          <w:rFonts w:ascii="Times New Roman" w:hAnsi="Times New Roman" w:cs="Times New Roman" w:hint="eastAsia"/>
        </w:rPr>
        <w:t>中电电机（</w:t>
      </w:r>
      <w:r w:rsidRPr="00B74787">
        <w:rPr>
          <w:rFonts w:ascii="Times New Roman" w:hAnsi="Times New Roman" w:cs="Times New Roman"/>
        </w:rPr>
        <w:t>603988</w:t>
      </w:r>
      <w:r w:rsidRPr="00B74787">
        <w:rPr>
          <w:rFonts w:ascii="Times New Roman" w:hAnsi="Times New Roman" w:cs="Times New Roman"/>
        </w:rPr>
        <w:t>）</w:t>
      </w:r>
      <w:proofErr w:type="gramStart"/>
      <w:r>
        <w:rPr>
          <w:rFonts w:ascii="Times New Roman" w:hAnsi="Times New Roman" w:cs="Times New Roman" w:hint="eastAsia"/>
        </w:rPr>
        <w:t>受处于</w:t>
      </w:r>
      <w:proofErr w:type="gramEnd"/>
      <w:r w:rsidRPr="00A130F4">
        <w:rPr>
          <w:rFonts w:ascii="Times New Roman" w:hAnsi="Times New Roman" w:cs="Times New Roman" w:hint="eastAsia"/>
        </w:rPr>
        <w:t>上涨趋势</w:t>
      </w:r>
      <w:r>
        <w:rPr>
          <w:rFonts w:ascii="Times New Roman" w:hAnsi="Times New Roman" w:cs="Times New Roman" w:hint="eastAsia"/>
        </w:rPr>
        <w:t>的</w:t>
      </w:r>
      <w:r w:rsidRPr="00A130F4">
        <w:rPr>
          <w:rFonts w:ascii="Times New Roman" w:hAnsi="Times New Roman" w:cs="Times New Roman" w:hint="eastAsia"/>
        </w:rPr>
        <w:t>机械板块</w:t>
      </w:r>
      <w:r>
        <w:rPr>
          <w:rFonts w:ascii="Times New Roman" w:hAnsi="Times New Roman" w:cs="Times New Roman" w:hint="eastAsia"/>
        </w:rPr>
        <w:t>带动，再加上</w:t>
      </w:r>
      <w:r w:rsidRPr="00A130F4">
        <w:rPr>
          <w:rFonts w:ascii="Times New Roman" w:hAnsi="Times New Roman" w:cs="Times New Roman"/>
        </w:rPr>
        <w:t>3</w:t>
      </w:r>
      <w:r w:rsidRPr="00A130F4">
        <w:rPr>
          <w:rFonts w:ascii="Times New Roman" w:hAnsi="Times New Roman" w:cs="Times New Roman"/>
        </w:rPr>
        <w:t>月</w:t>
      </w:r>
      <w:r w:rsidRPr="00A130F4">
        <w:rPr>
          <w:rFonts w:ascii="Times New Roman" w:hAnsi="Times New Roman" w:cs="Times New Roman"/>
        </w:rPr>
        <w:t>2</w:t>
      </w:r>
      <w:r w:rsidRPr="00A130F4">
        <w:rPr>
          <w:rFonts w:ascii="Times New Roman" w:hAnsi="Times New Roman" w:cs="Times New Roman"/>
        </w:rPr>
        <w:t>日复盘</w:t>
      </w:r>
      <w:r>
        <w:rPr>
          <w:rFonts w:ascii="Times New Roman" w:hAnsi="Times New Roman" w:cs="Times New Roman" w:hint="eastAsia"/>
        </w:rPr>
        <w:t>后</w:t>
      </w:r>
      <w:r w:rsidRPr="00A130F4">
        <w:rPr>
          <w:rFonts w:ascii="Times New Roman" w:hAnsi="Times New Roman" w:cs="Times New Roman"/>
        </w:rPr>
        <w:t>股民</w:t>
      </w:r>
      <w:r>
        <w:rPr>
          <w:rFonts w:ascii="Times New Roman" w:hAnsi="Times New Roman" w:cs="Times New Roman" w:hint="eastAsia"/>
        </w:rPr>
        <w:t>的投</w:t>
      </w:r>
      <w:r>
        <w:rPr>
          <w:rFonts w:ascii="Times New Roman" w:hAnsi="Times New Roman" w:cs="Times New Roman" w:hint="eastAsia"/>
        </w:rPr>
        <w:lastRenderedPageBreak/>
        <w:t>资</w:t>
      </w:r>
      <w:r w:rsidRPr="00A130F4">
        <w:rPr>
          <w:rFonts w:ascii="Times New Roman" w:hAnsi="Times New Roman" w:cs="Times New Roman"/>
        </w:rPr>
        <w:t>热情过度高涨</w:t>
      </w:r>
      <w:r>
        <w:rPr>
          <w:rFonts w:ascii="Times New Roman" w:hAnsi="Times New Roman" w:cs="Times New Roman" w:hint="eastAsia"/>
        </w:rPr>
        <w:t>，</w:t>
      </w:r>
      <w:r w:rsidR="00E12DF6" w:rsidRPr="00E12DF6">
        <w:rPr>
          <w:rFonts w:ascii="Times New Roman" w:hAnsi="Times New Roman" w:cs="Times New Roman" w:hint="eastAsia"/>
        </w:rPr>
        <w:t>该股票</w:t>
      </w:r>
      <w:r w:rsidR="00E12DF6">
        <w:rPr>
          <w:rFonts w:ascii="Times New Roman" w:hAnsi="Times New Roman" w:cs="Times New Roman" w:hint="eastAsia"/>
        </w:rPr>
        <w:t>市场尽管中旬</w:t>
      </w:r>
      <w:r w:rsidR="00E12DF6" w:rsidRPr="00E12DF6">
        <w:rPr>
          <w:rFonts w:ascii="Times New Roman" w:hAnsi="Times New Roman" w:cs="Times New Roman" w:hint="eastAsia"/>
        </w:rPr>
        <w:t>有过震荡及下跌，但整体上表现良好，具有投资价值</w:t>
      </w:r>
      <w:r w:rsidR="00E12DF6">
        <w:rPr>
          <w:rFonts w:ascii="Times New Roman" w:hAnsi="Times New Roman" w:cs="Times New Roman" w:hint="eastAsia"/>
        </w:rPr>
        <w:t>；</w:t>
      </w:r>
    </w:p>
    <w:p w:rsidR="00E12DF6" w:rsidRDefault="00E12DF6" w:rsidP="00E12DF6">
      <w:pPr>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sidRPr="00B74787">
        <w:rPr>
          <w:rFonts w:ascii="Times New Roman" w:hAnsi="Times New Roman" w:cs="Times New Roman" w:hint="eastAsia"/>
        </w:rPr>
        <w:t>宁波精达（</w:t>
      </w:r>
      <w:r w:rsidRPr="00B74787">
        <w:rPr>
          <w:rFonts w:ascii="Times New Roman" w:hAnsi="Times New Roman" w:cs="Times New Roman"/>
        </w:rPr>
        <w:t>603088</w:t>
      </w:r>
      <w:r w:rsidRPr="00B74787">
        <w:rPr>
          <w:rFonts w:ascii="Times New Roman" w:hAnsi="Times New Roman" w:cs="Times New Roman"/>
        </w:rPr>
        <w:t>）</w:t>
      </w:r>
      <w:r w:rsidRPr="00E12DF6">
        <w:rPr>
          <w:rFonts w:ascii="Times New Roman" w:hAnsi="Times New Roman" w:cs="Times New Roman" w:hint="eastAsia"/>
        </w:rPr>
        <w:t>在</w:t>
      </w:r>
      <w:r w:rsidRPr="00E12DF6">
        <w:rPr>
          <w:rFonts w:ascii="Times New Roman" w:hAnsi="Times New Roman" w:cs="Times New Roman"/>
        </w:rPr>
        <w:t>3</w:t>
      </w:r>
      <w:r w:rsidRPr="00E12DF6">
        <w:rPr>
          <w:rFonts w:ascii="Times New Roman" w:hAnsi="Times New Roman" w:cs="Times New Roman"/>
        </w:rPr>
        <w:t>月份的价格走势为先涨后跌，涨跌幅度</w:t>
      </w:r>
      <w:r>
        <w:rPr>
          <w:rFonts w:ascii="Times New Roman" w:hAnsi="Times New Roman" w:cs="Times New Roman" w:hint="eastAsia"/>
        </w:rPr>
        <w:t>均</w:t>
      </w:r>
      <w:r w:rsidRPr="00E12DF6">
        <w:rPr>
          <w:rFonts w:ascii="Times New Roman" w:hAnsi="Times New Roman" w:cs="Times New Roman"/>
        </w:rPr>
        <w:t>较为平缓</w:t>
      </w:r>
      <w:r>
        <w:rPr>
          <w:rFonts w:ascii="Times New Roman" w:hAnsi="Times New Roman" w:cs="Times New Roman" w:hint="eastAsia"/>
        </w:rPr>
        <w:t>，其</w:t>
      </w:r>
      <w:r w:rsidRPr="00E12DF6">
        <w:rPr>
          <w:rFonts w:ascii="Times New Roman" w:hAnsi="Times New Roman" w:cs="Times New Roman" w:hint="eastAsia"/>
        </w:rPr>
        <w:t>中</w:t>
      </w:r>
      <w:proofErr w:type="gramStart"/>
      <w:r w:rsidRPr="00E12DF6">
        <w:rPr>
          <w:rFonts w:ascii="Times New Roman" w:hAnsi="Times New Roman" w:cs="Times New Roman" w:hint="eastAsia"/>
        </w:rPr>
        <w:t>观环境</w:t>
      </w:r>
      <w:proofErr w:type="gramEnd"/>
      <w:r w:rsidRPr="00E12DF6">
        <w:rPr>
          <w:rFonts w:ascii="Times New Roman" w:hAnsi="Times New Roman" w:cs="Times New Roman" w:hint="eastAsia"/>
        </w:rPr>
        <w:t>与中电电机</w:t>
      </w:r>
      <w:r>
        <w:rPr>
          <w:rFonts w:ascii="Times New Roman" w:hAnsi="Times New Roman" w:cs="Times New Roman" w:hint="eastAsia"/>
        </w:rPr>
        <w:t>相似</w:t>
      </w:r>
      <w:r w:rsidRPr="00E12DF6">
        <w:rPr>
          <w:rFonts w:ascii="Times New Roman" w:hAnsi="Times New Roman" w:cs="Times New Roman" w:hint="eastAsia"/>
        </w:rPr>
        <w:t>，</w:t>
      </w:r>
      <w:r>
        <w:rPr>
          <w:rFonts w:ascii="Times New Roman" w:hAnsi="Times New Roman" w:cs="Times New Roman" w:hint="eastAsia"/>
        </w:rPr>
        <w:t>同样</w:t>
      </w:r>
      <w:proofErr w:type="gramStart"/>
      <w:r w:rsidRPr="00E12DF6">
        <w:rPr>
          <w:rFonts w:ascii="Times New Roman" w:hAnsi="Times New Roman" w:cs="Times New Roman" w:hint="eastAsia"/>
        </w:rPr>
        <w:t>随板块</w:t>
      </w:r>
      <w:proofErr w:type="gramEnd"/>
      <w:r w:rsidRPr="00E12DF6">
        <w:rPr>
          <w:rFonts w:ascii="Times New Roman" w:hAnsi="Times New Roman" w:cs="Times New Roman" w:hint="eastAsia"/>
        </w:rPr>
        <w:t>因素，</w:t>
      </w:r>
      <w:proofErr w:type="gramStart"/>
      <w:r w:rsidRPr="00E12DF6">
        <w:rPr>
          <w:rFonts w:ascii="Times New Roman" w:hAnsi="Times New Roman" w:cs="Times New Roman" w:hint="eastAsia"/>
        </w:rPr>
        <w:t>同趋势</w:t>
      </w:r>
      <w:proofErr w:type="gramEnd"/>
      <w:r w:rsidRPr="00E12DF6">
        <w:rPr>
          <w:rFonts w:ascii="Times New Roman" w:hAnsi="Times New Roman" w:cs="Times New Roman" w:hint="eastAsia"/>
        </w:rPr>
        <w:t>上升</w:t>
      </w:r>
      <w:r>
        <w:rPr>
          <w:rFonts w:ascii="Times New Roman" w:hAnsi="Times New Roman" w:cs="Times New Roman" w:hint="eastAsia"/>
        </w:rPr>
        <w:t>。</w:t>
      </w:r>
    </w:p>
    <w:p w:rsidR="00E12DF6" w:rsidRDefault="00E12DF6" w:rsidP="00415C05">
      <w:pPr>
        <w:spacing w:line="360" w:lineRule="auto"/>
        <w:ind w:firstLineChars="200" w:firstLine="420"/>
        <w:rPr>
          <w:rFonts w:ascii="Times New Roman" w:hAnsi="Times New Roman" w:cs="Times New Roman"/>
        </w:rPr>
      </w:pPr>
      <w:r>
        <w:rPr>
          <w:rFonts w:ascii="Times New Roman" w:hAnsi="Times New Roman" w:cs="Times New Roman" w:hint="eastAsia"/>
        </w:rPr>
        <w:t>综合上述，这三只股票均</w:t>
      </w:r>
      <w:r w:rsidRPr="00E12DF6">
        <w:rPr>
          <w:rFonts w:ascii="Times New Roman" w:hAnsi="Times New Roman" w:cs="Times New Roman" w:hint="eastAsia"/>
        </w:rPr>
        <w:t>与市场相关性</w:t>
      </w:r>
      <w:r>
        <w:rPr>
          <w:rFonts w:ascii="Times New Roman" w:hAnsi="Times New Roman" w:cs="Times New Roman" w:hint="eastAsia"/>
        </w:rPr>
        <w:t>较</w:t>
      </w:r>
      <w:r w:rsidRPr="00E12DF6">
        <w:rPr>
          <w:rFonts w:ascii="Times New Roman" w:hAnsi="Times New Roman" w:cs="Times New Roman" w:hint="eastAsia"/>
        </w:rPr>
        <w:t>大，因此贝塔值较高</w:t>
      </w:r>
      <w:r>
        <w:rPr>
          <w:rFonts w:ascii="Times New Roman" w:hAnsi="Times New Roman" w:cs="Times New Roman" w:hint="eastAsia"/>
        </w:rPr>
        <w:t>（</w:t>
      </w:r>
      <w:r w:rsidRPr="00E12DF6">
        <w:rPr>
          <w:rFonts w:ascii="Times New Roman" w:hAnsi="Times New Roman" w:cs="Times New Roman"/>
        </w:rPr>
        <w:t>0.99</w:t>
      </w:r>
      <w:r>
        <w:rPr>
          <w:rFonts w:ascii="Times New Roman" w:hAnsi="Times New Roman" w:cs="Times New Roman" w:hint="eastAsia"/>
        </w:rPr>
        <w:t>）</w:t>
      </w:r>
      <w:r w:rsidRPr="00E12DF6">
        <w:rPr>
          <w:rFonts w:ascii="Times New Roman" w:hAnsi="Times New Roman" w:cs="Times New Roman"/>
        </w:rPr>
        <w:t>，投资该组合需重视市场方面的信息</w:t>
      </w:r>
      <w:r>
        <w:rPr>
          <w:rFonts w:ascii="Times New Roman" w:hAnsi="Times New Roman" w:cs="Times New Roman" w:hint="eastAsia"/>
        </w:rPr>
        <w:t>；</w:t>
      </w:r>
      <w:r w:rsidRPr="00E12DF6">
        <w:rPr>
          <w:rFonts w:ascii="Times New Roman" w:hAnsi="Times New Roman" w:cs="Times New Roman"/>
        </w:rPr>
        <w:t>阿</w:t>
      </w:r>
      <w:proofErr w:type="gramStart"/>
      <w:r w:rsidRPr="00E12DF6">
        <w:rPr>
          <w:rFonts w:ascii="Times New Roman" w:hAnsi="Times New Roman" w:cs="Times New Roman"/>
        </w:rPr>
        <w:t>尔法值大于</w:t>
      </w:r>
      <w:proofErr w:type="gramEnd"/>
      <w:r w:rsidRPr="00E12DF6">
        <w:rPr>
          <w:rFonts w:ascii="Times New Roman" w:hAnsi="Times New Roman" w:cs="Times New Roman"/>
        </w:rPr>
        <w:t>零</w:t>
      </w:r>
      <w:r>
        <w:rPr>
          <w:rFonts w:ascii="Times New Roman" w:hAnsi="Times New Roman" w:cs="Times New Roman" w:hint="eastAsia"/>
        </w:rPr>
        <w:t>（</w:t>
      </w:r>
      <w:r w:rsidRPr="00E12DF6">
        <w:rPr>
          <w:rFonts w:ascii="Times New Roman" w:hAnsi="Times New Roman" w:cs="Times New Roman"/>
        </w:rPr>
        <w:t>47.09%</w:t>
      </w:r>
      <w:r>
        <w:rPr>
          <w:rFonts w:ascii="Times New Roman" w:hAnsi="Times New Roman" w:cs="Times New Roman" w:hint="eastAsia"/>
        </w:rPr>
        <w:t>）</w:t>
      </w:r>
      <w:r w:rsidRPr="00E12DF6">
        <w:rPr>
          <w:rFonts w:ascii="Times New Roman" w:hAnsi="Times New Roman" w:cs="Times New Roman"/>
        </w:rPr>
        <w:t>说明股票价格存在被低估的现象</w:t>
      </w:r>
      <w:r>
        <w:rPr>
          <w:rFonts w:ascii="Times New Roman" w:hAnsi="Times New Roman" w:cs="Times New Roman" w:hint="eastAsia"/>
        </w:rPr>
        <w:t>，</w:t>
      </w:r>
      <w:r w:rsidRPr="00E12DF6">
        <w:rPr>
          <w:rFonts w:ascii="Times New Roman" w:hAnsi="Times New Roman" w:cs="Times New Roman"/>
        </w:rPr>
        <w:t>这三支股票的前景良好</w:t>
      </w:r>
      <w:r>
        <w:rPr>
          <w:rFonts w:ascii="Times New Roman" w:hAnsi="Times New Roman" w:cs="Times New Roman" w:hint="eastAsia"/>
        </w:rPr>
        <w:t>；</w:t>
      </w:r>
      <w:r w:rsidRPr="00E12DF6">
        <w:rPr>
          <w:rFonts w:ascii="Times New Roman" w:hAnsi="Times New Roman" w:cs="Times New Roman"/>
        </w:rPr>
        <w:t>由于</w:t>
      </w:r>
      <w:r>
        <w:rPr>
          <w:rFonts w:ascii="Times New Roman" w:hAnsi="Times New Roman" w:cs="Times New Roman" w:hint="eastAsia"/>
        </w:rPr>
        <w:t>相对较大的</w:t>
      </w:r>
      <w:r w:rsidRPr="00E12DF6">
        <w:rPr>
          <w:rFonts w:ascii="Times New Roman" w:hAnsi="Times New Roman" w:cs="Times New Roman"/>
        </w:rPr>
        <w:t>波动和风险</w:t>
      </w:r>
      <w:r>
        <w:rPr>
          <w:rFonts w:ascii="Times New Roman" w:hAnsi="Times New Roman" w:cs="Times New Roman" w:hint="eastAsia"/>
        </w:rPr>
        <w:t>，</w:t>
      </w:r>
      <w:r w:rsidRPr="00E12DF6">
        <w:rPr>
          <w:rFonts w:ascii="Times New Roman" w:hAnsi="Times New Roman" w:cs="Times New Roman"/>
        </w:rPr>
        <w:t>夏普比率也相对较高</w:t>
      </w:r>
      <w:r>
        <w:rPr>
          <w:rFonts w:ascii="Times New Roman" w:hAnsi="Times New Roman" w:cs="Times New Roman" w:hint="eastAsia"/>
        </w:rPr>
        <w:t>（</w:t>
      </w:r>
      <w:r w:rsidRPr="00E12DF6">
        <w:rPr>
          <w:rFonts w:ascii="Times New Roman" w:hAnsi="Times New Roman" w:cs="Times New Roman"/>
        </w:rPr>
        <w:t>0.27</w:t>
      </w:r>
      <w:r>
        <w:rPr>
          <w:rFonts w:ascii="Times New Roman" w:hAnsi="Times New Roman" w:cs="Times New Roman" w:hint="eastAsia"/>
        </w:rPr>
        <w:t>）。</w:t>
      </w:r>
      <w:r w:rsidRPr="00E12DF6">
        <w:rPr>
          <w:rFonts w:ascii="Times New Roman" w:hAnsi="Times New Roman" w:cs="Times New Roman"/>
        </w:rPr>
        <w:t>不过，</w:t>
      </w:r>
      <w:r>
        <w:rPr>
          <w:rFonts w:ascii="Times New Roman" w:hAnsi="Times New Roman" w:cs="Times New Roman" w:hint="eastAsia"/>
        </w:rPr>
        <w:t>由于前提已</w:t>
      </w:r>
      <w:r w:rsidRPr="00E12DF6">
        <w:rPr>
          <w:rFonts w:ascii="Times New Roman" w:hAnsi="Times New Roman" w:cs="Times New Roman"/>
        </w:rPr>
        <w:t>假</w:t>
      </w:r>
      <w:r>
        <w:rPr>
          <w:rFonts w:ascii="Times New Roman" w:hAnsi="Times New Roman" w:cs="Times New Roman" w:hint="eastAsia"/>
        </w:rPr>
        <w:t>定</w:t>
      </w:r>
      <w:r w:rsidRPr="00E12DF6">
        <w:rPr>
          <w:rFonts w:ascii="Times New Roman" w:hAnsi="Times New Roman" w:cs="Times New Roman"/>
        </w:rPr>
        <w:t>投资者具有较强的风险偏好，</w:t>
      </w:r>
      <w:r>
        <w:rPr>
          <w:rFonts w:ascii="Times New Roman" w:hAnsi="Times New Roman" w:cs="Times New Roman" w:hint="eastAsia"/>
        </w:rPr>
        <w:t>这些风险</w:t>
      </w:r>
      <w:r w:rsidR="00415C05">
        <w:rPr>
          <w:rFonts w:ascii="Times New Roman" w:hAnsi="Times New Roman" w:cs="Times New Roman" w:hint="eastAsia"/>
        </w:rPr>
        <w:t>并未超出投资者能够</w:t>
      </w:r>
      <w:r w:rsidRPr="00E12DF6">
        <w:rPr>
          <w:rFonts w:ascii="Times New Roman" w:hAnsi="Times New Roman" w:cs="Times New Roman"/>
        </w:rPr>
        <w:t>接受的程度。</w:t>
      </w:r>
    </w:p>
    <w:p w:rsidR="00415C05" w:rsidRPr="00415C05" w:rsidRDefault="00415C05" w:rsidP="00415C05">
      <w:pPr>
        <w:spacing w:line="360" w:lineRule="auto"/>
        <w:ind w:firstLineChars="200" w:firstLine="420"/>
        <w:rPr>
          <w:rFonts w:ascii="Times New Roman" w:hAnsi="Times New Roman" w:cs="Times New Roman" w:hint="eastAsia"/>
        </w:rPr>
      </w:pPr>
      <w:r>
        <w:rPr>
          <w:rFonts w:ascii="Times New Roman" w:hAnsi="Times New Roman" w:cs="Times New Roman" w:hint="eastAsia"/>
        </w:rPr>
        <w:t>最后，针对投资策略的评价主要围绕</w:t>
      </w:r>
      <w:r>
        <w:rPr>
          <w:rFonts w:ascii="Times New Roman" w:hAnsi="Times New Roman" w:cs="Times New Roman" w:hint="eastAsia"/>
        </w:rPr>
        <w:t>C</w:t>
      </w:r>
      <w:r>
        <w:rPr>
          <w:rFonts w:ascii="Times New Roman" w:hAnsi="Times New Roman" w:cs="Times New Roman"/>
        </w:rPr>
        <w:t>APM</w:t>
      </w:r>
      <w:r>
        <w:rPr>
          <w:rFonts w:ascii="Times New Roman" w:hAnsi="Times New Roman" w:cs="Times New Roman" w:hint="eastAsia"/>
        </w:rPr>
        <w:t>理论模型在实际中的应用局限展开，在为期望收益率计算提供了方便的同时，忽视了非系统性风险和</w:t>
      </w:r>
      <w:r>
        <w:rPr>
          <w:rFonts w:ascii="Cambria Math" w:hAnsi="Cambria Math" w:cs="Times New Roman"/>
        </w:rPr>
        <w:t>β</w:t>
      </w:r>
      <w:r>
        <w:rPr>
          <w:rFonts w:ascii="Times New Roman" w:hAnsi="Times New Roman" w:cs="Times New Roman" w:hint="eastAsia"/>
        </w:rPr>
        <w:t>系数的变动性</w:t>
      </w:r>
      <w:r>
        <w:rPr>
          <w:rFonts w:ascii="Times New Roman" w:hAnsi="Times New Roman" w:cs="Times New Roman" w:hint="eastAsia"/>
        </w:rPr>
        <w:t>的度量</w:t>
      </w:r>
      <w:r>
        <w:rPr>
          <w:rFonts w:ascii="Times New Roman" w:hAnsi="Times New Roman" w:cs="Times New Roman" w:hint="eastAsia"/>
        </w:rPr>
        <w:t>，也带来了不可避免的误差。</w:t>
      </w:r>
    </w:p>
    <w:p w:rsidR="00E12DF6" w:rsidRPr="00A130F4" w:rsidRDefault="00E12DF6" w:rsidP="00E12DF6">
      <w:pPr>
        <w:spacing w:line="360" w:lineRule="auto"/>
        <w:rPr>
          <w:rFonts w:ascii="Times New Roman" w:hAnsi="Times New Roman" w:cs="Times New Roman" w:hint="eastAsia"/>
        </w:rPr>
      </w:pPr>
    </w:p>
    <w:sectPr w:rsidR="00E12DF6" w:rsidRPr="00A130F4" w:rsidSect="004B75B4">
      <w:footerReference w:type="default" r:id="rId4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16A" w:rsidRDefault="0017116A" w:rsidP="00E93D3B">
      <w:r>
        <w:separator/>
      </w:r>
    </w:p>
  </w:endnote>
  <w:endnote w:type="continuationSeparator" w:id="0">
    <w:p w:rsidR="0017116A" w:rsidRDefault="0017116A" w:rsidP="00E9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00000287"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186307"/>
      <w:docPartObj>
        <w:docPartGallery w:val="Page Numbers (Bottom of Page)"/>
        <w:docPartUnique/>
      </w:docPartObj>
    </w:sdtPr>
    <w:sdtEndPr>
      <w:rPr>
        <w:rFonts w:ascii="Times New Roman" w:hAnsi="Times New Roman" w:cs="Times New Roman"/>
      </w:rPr>
    </w:sdtEndPr>
    <w:sdtContent>
      <w:p w:rsidR="00E12DF6" w:rsidRPr="006C0670" w:rsidRDefault="00E12DF6">
        <w:pPr>
          <w:pStyle w:val="a6"/>
          <w:jc w:val="center"/>
          <w:rPr>
            <w:rFonts w:ascii="Times New Roman" w:hAnsi="Times New Roman" w:cs="Times New Roman"/>
          </w:rPr>
        </w:pPr>
        <w:r w:rsidRPr="006C0670">
          <w:rPr>
            <w:rFonts w:ascii="Times New Roman" w:hAnsi="Times New Roman" w:cs="Times New Roman"/>
          </w:rPr>
          <w:fldChar w:fldCharType="begin"/>
        </w:r>
        <w:r w:rsidRPr="006C0670">
          <w:rPr>
            <w:rFonts w:ascii="Times New Roman" w:hAnsi="Times New Roman" w:cs="Times New Roman"/>
          </w:rPr>
          <w:instrText>PAGE   \* MERGEFORMAT</w:instrText>
        </w:r>
        <w:r w:rsidRPr="006C0670">
          <w:rPr>
            <w:rFonts w:ascii="Times New Roman" w:hAnsi="Times New Roman" w:cs="Times New Roman"/>
          </w:rPr>
          <w:fldChar w:fldCharType="separate"/>
        </w:r>
        <w:r w:rsidRPr="006C0670">
          <w:rPr>
            <w:rFonts w:ascii="Times New Roman" w:hAnsi="Times New Roman" w:cs="Times New Roman"/>
            <w:lang w:val="zh-CN"/>
          </w:rPr>
          <w:t>2</w:t>
        </w:r>
        <w:r w:rsidRPr="006C0670">
          <w:rPr>
            <w:rFonts w:ascii="Times New Roman" w:hAnsi="Times New Roman" w:cs="Times New Roman"/>
          </w:rPr>
          <w:fldChar w:fldCharType="end"/>
        </w:r>
      </w:p>
    </w:sdtContent>
  </w:sdt>
  <w:p w:rsidR="00E12DF6" w:rsidRDefault="00E12D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16A" w:rsidRDefault="0017116A" w:rsidP="00E93D3B">
      <w:r>
        <w:separator/>
      </w:r>
    </w:p>
  </w:footnote>
  <w:footnote w:type="continuationSeparator" w:id="0">
    <w:p w:rsidR="0017116A" w:rsidRDefault="0017116A" w:rsidP="00E93D3B">
      <w:r>
        <w:continuationSeparator/>
      </w:r>
    </w:p>
  </w:footnote>
  <w:footnote w:id="1">
    <w:p w:rsidR="00E12DF6" w:rsidRPr="00F709B5" w:rsidRDefault="00E12DF6" w:rsidP="00F709B5">
      <w:pPr>
        <w:pStyle w:val="ac"/>
        <w:rPr>
          <w:rFonts w:ascii="Times New Roman" w:eastAsia="宋体" w:hAnsi="Times New Roman" w:cs="Times New Roman"/>
        </w:rPr>
      </w:pPr>
      <w:r w:rsidRPr="00F709B5">
        <w:rPr>
          <w:rStyle w:val="ae"/>
          <w:rFonts w:ascii="Times New Roman" w:eastAsia="宋体" w:hAnsi="Times New Roman" w:cs="Times New Roman"/>
          <w:sz w:val="16"/>
        </w:rPr>
        <w:footnoteRef/>
      </w:r>
      <w:r w:rsidRPr="00F709B5">
        <w:rPr>
          <w:rFonts w:ascii="Times New Roman" w:eastAsia="宋体" w:hAnsi="Times New Roman" w:cs="Times New Roman"/>
          <w:sz w:val="16"/>
        </w:rPr>
        <w:t xml:space="preserve"> </w:t>
      </w:r>
      <w:r w:rsidRPr="00F709B5">
        <w:rPr>
          <w:rFonts w:ascii="Times New Roman" w:eastAsia="宋体" w:hAnsi="Times New Roman" w:cs="Times New Roman"/>
          <w:sz w:val="16"/>
        </w:rPr>
        <w:t>《受益于供给侧改革，铝业龙头业绩大增》</w:t>
      </w:r>
      <w:r w:rsidRPr="00F709B5">
        <w:rPr>
          <w:rFonts w:ascii="Times New Roman" w:eastAsia="宋体" w:hAnsi="Times New Roman" w:cs="Times New Roman"/>
          <w:sz w:val="16"/>
        </w:rPr>
        <w:t xml:space="preserve">. </w:t>
      </w:r>
      <w:r w:rsidRPr="00F709B5">
        <w:rPr>
          <w:rFonts w:ascii="Times New Roman" w:eastAsia="宋体" w:hAnsi="Times New Roman" w:cs="Times New Roman"/>
          <w:sz w:val="16"/>
        </w:rPr>
        <w:t>中国银河证券研究部</w:t>
      </w:r>
      <w:r w:rsidRPr="00F709B5">
        <w:rPr>
          <w:rFonts w:ascii="Times New Roman" w:eastAsia="宋体" w:hAnsi="Times New Roman" w:cs="Times New Roman"/>
          <w:sz w:val="16"/>
        </w:rPr>
        <w:t xml:space="preserve">. </w:t>
      </w:r>
      <w:r w:rsidRPr="00F709B5">
        <w:rPr>
          <w:rFonts w:ascii="Times New Roman" w:eastAsia="宋体" w:hAnsi="Times New Roman" w:cs="Times New Roman"/>
          <w:sz w:val="16"/>
        </w:rPr>
        <w:t>公司点评研究报告有色金属行业</w:t>
      </w:r>
      <w:r w:rsidRPr="00F709B5">
        <w:rPr>
          <w:rFonts w:ascii="Times New Roman" w:eastAsia="宋体" w:hAnsi="Times New Roman" w:cs="Times New Roman"/>
          <w:sz w:val="16"/>
        </w:rPr>
        <w:t>. 2018.3.23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5D33"/>
    <w:multiLevelType w:val="hybridMultilevel"/>
    <w:tmpl w:val="1938BC16"/>
    <w:lvl w:ilvl="0" w:tplc="EFD8B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7F"/>
    <w:rsid w:val="0009575A"/>
    <w:rsid w:val="000C4E94"/>
    <w:rsid w:val="000D30F0"/>
    <w:rsid w:val="00141525"/>
    <w:rsid w:val="0017116A"/>
    <w:rsid w:val="001D0B3C"/>
    <w:rsid w:val="00227B6A"/>
    <w:rsid w:val="00242664"/>
    <w:rsid w:val="0026652A"/>
    <w:rsid w:val="0029791E"/>
    <w:rsid w:val="002A1DA8"/>
    <w:rsid w:val="002F6469"/>
    <w:rsid w:val="003E6EA0"/>
    <w:rsid w:val="00405F44"/>
    <w:rsid w:val="0041327F"/>
    <w:rsid w:val="00415C05"/>
    <w:rsid w:val="00463F6D"/>
    <w:rsid w:val="004B75B4"/>
    <w:rsid w:val="00512C18"/>
    <w:rsid w:val="005459E1"/>
    <w:rsid w:val="005B6381"/>
    <w:rsid w:val="005C53B8"/>
    <w:rsid w:val="0066631F"/>
    <w:rsid w:val="006C0670"/>
    <w:rsid w:val="006F39B1"/>
    <w:rsid w:val="0071628A"/>
    <w:rsid w:val="007B009F"/>
    <w:rsid w:val="00865F1E"/>
    <w:rsid w:val="00870FAF"/>
    <w:rsid w:val="00883D8A"/>
    <w:rsid w:val="008C1C8A"/>
    <w:rsid w:val="00970900"/>
    <w:rsid w:val="009A172A"/>
    <w:rsid w:val="009A3388"/>
    <w:rsid w:val="00A130F4"/>
    <w:rsid w:val="00A33222"/>
    <w:rsid w:val="00A938C6"/>
    <w:rsid w:val="00B14191"/>
    <w:rsid w:val="00B31423"/>
    <w:rsid w:val="00B74787"/>
    <w:rsid w:val="00BA2360"/>
    <w:rsid w:val="00BB06D3"/>
    <w:rsid w:val="00C44D1F"/>
    <w:rsid w:val="00CD0D2D"/>
    <w:rsid w:val="00CE0EAB"/>
    <w:rsid w:val="00DE5462"/>
    <w:rsid w:val="00DF6657"/>
    <w:rsid w:val="00E0021D"/>
    <w:rsid w:val="00E12DF6"/>
    <w:rsid w:val="00E93D3B"/>
    <w:rsid w:val="00EF7951"/>
    <w:rsid w:val="00F13A5C"/>
    <w:rsid w:val="00F709B5"/>
    <w:rsid w:val="00F94850"/>
    <w:rsid w:val="00F948AC"/>
    <w:rsid w:val="00FB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E4E4"/>
  <w15:chartTrackingRefBased/>
  <w15:docId w15:val="{10894EF6-032F-48C9-8A34-93DF17A6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EAB"/>
    <w:pPr>
      <w:widowControl w:val="0"/>
      <w:jc w:val="both"/>
    </w:pPr>
    <w:rPr>
      <w:rFonts w:eastAsia="宋体"/>
    </w:rPr>
  </w:style>
  <w:style w:type="paragraph" w:styleId="1">
    <w:name w:val="heading 1"/>
    <w:basedOn w:val="a"/>
    <w:next w:val="a"/>
    <w:link w:val="10"/>
    <w:uiPriority w:val="9"/>
    <w:qFormat/>
    <w:rsid w:val="006C0670"/>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F94850"/>
    <w:pPr>
      <w:keepNext/>
      <w:keepLines/>
      <w:spacing w:before="260" w:after="260" w:line="416" w:lineRule="auto"/>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0670"/>
    <w:rPr>
      <w:rFonts w:eastAsia="黑体"/>
      <w:b/>
      <w:bCs/>
      <w:kern w:val="44"/>
      <w:sz w:val="28"/>
      <w:szCs w:val="44"/>
    </w:rPr>
  </w:style>
  <w:style w:type="character" w:customStyle="1" w:styleId="20">
    <w:name w:val="标题 2 字符"/>
    <w:basedOn w:val="a0"/>
    <w:link w:val="2"/>
    <w:uiPriority w:val="9"/>
    <w:rsid w:val="00F94850"/>
    <w:rPr>
      <w:rFonts w:asciiTheme="majorHAnsi" w:eastAsia="宋体" w:hAnsiTheme="majorHAnsi" w:cstheme="majorBidi"/>
      <w:b/>
      <w:bCs/>
      <w:sz w:val="24"/>
      <w:szCs w:val="32"/>
    </w:rPr>
  </w:style>
  <w:style w:type="table" w:styleId="a3">
    <w:name w:val="Table Grid"/>
    <w:basedOn w:val="a1"/>
    <w:uiPriority w:val="39"/>
    <w:rsid w:val="00F94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93D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3D3B"/>
    <w:rPr>
      <w:rFonts w:eastAsia="宋体"/>
      <w:sz w:val="18"/>
      <w:szCs w:val="18"/>
    </w:rPr>
  </w:style>
  <w:style w:type="paragraph" w:styleId="a6">
    <w:name w:val="footer"/>
    <w:basedOn w:val="a"/>
    <w:link w:val="a7"/>
    <w:uiPriority w:val="99"/>
    <w:unhideWhenUsed/>
    <w:rsid w:val="00E93D3B"/>
    <w:pPr>
      <w:tabs>
        <w:tab w:val="center" w:pos="4153"/>
        <w:tab w:val="right" w:pos="8306"/>
      </w:tabs>
      <w:snapToGrid w:val="0"/>
      <w:jc w:val="left"/>
    </w:pPr>
    <w:rPr>
      <w:sz w:val="18"/>
      <w:szCs w:val="18"/>
    </w:rPr>
  </w:style>
  <w:style w:type="character" w:customStyle="1" w:styleId="a7">
    <w:name w:val="页脚 字符"/>
    <w:basedOn w:val="a0"/>
    <w:link w:val="a6"/>
    <w:uiPriority w:val="99"/>
    <w:rsid w:val="00E93D3B"/>
    <w:rPr>
      <w:rFonts w:eastAsia="宋体"/>
      <w:sz w:val="18"/>
      <w:szCs w:val="18"/>
    </w:rPr>
  </w:style>
  <w:style w:type="table" w:styleId="21">
    <w:name w:val="Plain Table 2"/>
    <w:basedOn w:val="a1"/>
    <w:uiPriority w:val="42"/>
    <w:rsid w:val="00870F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DE5462"/>
    <w:pPr>
      <w:ind w:firstLineChars="200" w:firstLine="420"/>
    </w:pPr>
    <w:rPr>
      <w:rFonts w:eastAsiaTheme="minorEastAsia"/>
    </w:rPr>
  </w:style>
  <w:style w:type="paragraph" w:styleId="a9">
    <w:name w:val="No Spacing"/>
    <w:link w:val="aa"/>
    <w:uiPriority w:val="1"/>
    <w:qFormat/>
    <w:rsid w:val="004B75B4"/>
    <w:rPr>
      <w:kern w:val="0"/>
      <w:sz w:val="22"/>
    </w:rPr>
  </w:style>
  <w:style w:type="character" w:customStyle="1" w:styleId="aa">
    <w:name w:val="无间隔 字符"/>
    <w:basedOn w:val="a0"/>
    <w:link w:val="a9"/>
    <w:uiPriority w:val="1"/>
    <w:rsid w:val="004B75B4"/>
    <w:rPr>
      <w:kern w:val="0"/>
      <w:sz w:val="22"/>
    </w:rPr>
  </w:style>
  <w:style w:type="paragraph" w:styleId="11">
    <w:name w:val="toc 1"/>
    <w:basedOn w:val="a"/>
    <w:next w:val="a"/>
    <w:autoRedefine/>
    <w:uiPriority w:val="39"/>
    <w:unhideWhenUsed/>
    <w:rsid w:val="009A3388"/>
    <w:pPr>
      <w:tabs>
        <w:tab w:val="right" w:leader="dot" w:pos="8296"/>
      </w:tabs>
      <w:spacing w:line="360" w:lineRule="auto"/>
    </w:pPr>
    <w:rPr>
      <w:rFonts w:ascii="Times New Roman" w:eastAsia="黑体" w:hAnsi="Times New Roman" w:cs="Times New Roman"/>
      <w:noProof/>
      <w:sz w:val="28"/>
    </w:rPr>
  </w:style>
  <w:style w:type="paragraph" w:styleId="22">
    <w:name w:val="toc 2"/>
    <w:basedOn w:val="a"/>
    <w:next w:val="a"/>
    <w:autoRedefine/>
    <w:uiPriority w:val="39"/>
    <w:unhideWhenUsed/>
    <w:rsid w:val="006C0670"/>
    <w:pPr>
      <w:ind w:leftChars="200" w:left="420"/>
    </w:pPr>
  </w:style>
  <w:style w:type="character" w:styleId="ab">
    <w:name w:val="Hyperlink"/>
    <w:basedOn w:val="a0"/>
    <w:uiPriority w:val="99"/>
    <w:unhideWhenUsed/>
    <w:rsid w:val="006C0670"/>
    <w:rPr>
      <w:color w:val="0563C1" w:themeColor="hyperlink"/>
      <w:u w:val="single"/>
    </w:rPr>
  </w:style>
  <w:style w:type="paragraph" w:styleId="TOC">
    <w:name w:val="TOC Heading"/>
    <w:basedOn w:val="1"/>
    <w:next w:val="a"/>
    <w:uiPriority w:val="39"/>
    <w:unhideWhenUsed/>
    <w:qFormat/>
    <w:rsid w:val="006C06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
    <w:name w:val="toc 3"/>
    <w:basedOn w:val="a"/>
    <w:next w:val="a"/>
    <w:autoRedefine/>
    <w:uiPriority w:val="39"/>
    <w:unhideWhenUsed/>
    <w:rsid w:val="006C0670"/>
    <w:pPr>
      <w:widowControl/>
      <w:spacing w:after="100" w:line="259" w:lineRule="auto"/>
      <w:ind w:left="440"/>
      <w:jc w:val="left"/>
    </w:pPr>
    <w:rPr>
      <w:rFonts w:eastAsiaTheme="minorEastAsia" w:cs="Times New Roman"/>
      <w:kern w:val="0"/>
      <w:sz w:val="22"/>
    </w:rPr>
  </w:style>
  <w:style w:type="paragraph" w:styleId="ac">
    <w:name w:val="footnote text"/>
    <w:basedOn w:val="a"/>
    <w:link w:val="ad"/>
    <w:uiPriority w:val="99"/>
    <w:semiHidden/>
    <w:unhideWhenUsed/>
    <w:rsid w:val="00F709B5"/>
    <w:pPr>
      <w:snapToGrid w:val="0"/>
      <w:jc w:val="left"/>
    </w:pPr>
    <w:rPr>
      <w:rFonts w:eastAsiaTheme="minorEastAsia"/>
      <w:sz w:val="18"/>
      <w:szCs w:val="18"/>
    </w:rPr>
  </w:style>
  <w:style w:type="character" w:customStyle="1" w:styleId="ad">
    <w:name w:val="脚注文本 字符"/>
    <w:basedOn w:val="a0"/>
    <w:link w:val="ac"/>
    <w:uiPriority w:val="99"/>
    <w:semiHidden/>
    <w:rsid w:val="00F709B5"/>
    <w:rPr>
      <w:sz w:val="18"/>
      <w:szCs w:val="18"/>
    </w:rPr>
  </w:style>
  <w:style w:type="character" w:styleId="ae">
    <w:name w:val="footnote reference"/>
    <w:basedOn w:val="a0"/>
    <w:uiPriority w:val="99"/>
    <w:semiHidden/>
    <w:unhideWhenUsed/>
    <w:rsid w:val="00F70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4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5.wmf"/><Relationship Id="rId42"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chart" Target="charts/chart1.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jpe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jpe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om\AppData\Local\Temp\7zOCFFF4E16\&#32047;&#35745;&#25910;&#30410;&#29575;.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1">
                <a:solidFill>
                  <a:schemeClr val="tx1"/>
                </a:solidFill>
                <a:latin typeface="Times New Roman" panose="02020603050405020304" pitchFamily="18" charset="0"/>
                <a:ea typeface="宋体" panose="02010600030101010101" pitchFamily="2" charset="-122"/>
                <a:cs typeface="Times New Roman" panose="02020603050405020304" pitchFamily="18" charset="0"/>
              </a:rPr>
              <a:t>累计收益率 </a:t>
            </a:r>
            <a:r>
              <a:rPr lang="en-US" altLang="zh-CN" b="1">
                <a:solidFill>
                  <a:schemeClr val="tx1"/>
                </a:solidFill>
                <a:latin typeface="Times New Roman" panose="02020603050405020304" pitchFamily="18" charset="0"/>
                <a:ea typeface="宋体" panose="02010600030101010101" pitchFamily="2" charset="-122"/>
                <a:cs typeface="Times New Roman" panose="02020603050405020304" pitchFamily="18" charset="0"/>
              </a:rPr>
              <a:t>(%)</a:t>
            </a:r>
            <a:endParaRPr lang="zh-CN" altLang="en-US" b="1">
              <a:solidFill>
                <a:schemeClr val="tx1"/>
              </a:solidFill>
              <a:latin typeface="Times New Roman" panose="02020603050405020304" pitchFamily="18" charset="0"/>
              <a:ea typeface="宋体" panose="02010600030101010101" pitchFamily="2" charset="-122"/>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累计收益率!$B$1</c:f>
              <c:strCache>
                <c:ptCount val="1"/>
                <c:pt idx="0">
                  <c:v>策略收益率</c:v>
                </c:pt>
              </c:strCache>
            </c:strRef>
          </c:tx>
          <c:spPr>
            <a:ln w="28575" cap="rnd">
              <a:solidFill>
                <a:schemeClr val="accent1"/>
              </a:solidFill>
              <a:round/>
            </a:ln>
            <a:effectLst/>
          </c:spPr>
          <c:marker>
            <c:symbol val="none"/>
          </c:marker>
          <c:cat>
            <c:numRef>
              <c:f>累计收益率!$A$2:$A$23</c:f>
              <c:numCache>
                <c:formatCode>m/d/yyyy</c:formatCode>
                <c:ptCount val="22"/>
                <c:pt idx="0">
                  <c:v>43160</c:v>
                </c:pt>
                <c:pt idx="1">
                  <c:v>43161</c:v>
                </c:pt>
                <c:pt idx="2">
                  <c:v>43162</c:v>
                </c:pt>
                <c:pt idx="3">
                  <c:v>43163</c:v>
                </c:pt>
                <c:pt idx="4">
                  <c:v>43164</c:v>
                </c:pt>
                <c:pt idx="5">
                  <c:v>43165</c:v>
                </c:pt>
                <c:pt idx="6">
                  <c:v>43166</c:v>
                </c:pt>
                <c:pt idx="7">
                  <c:v>43167</c:v>
                </c:pt>
                <c:pt idx="8">
                  <c:v>43168</c:v>
                </c:pt>
                <c:pt idx="9">
                  <c:v>43169</c:v>
                </c:pt>
                <c:pt idx="10">
                  <c:v>43170</c:v>
                </c:pt>
                <c:pt idx="11">
                  <c:v>43171</c:v>
                </c:pt>
                <c:pt idx="12">
                  <c:v>43172</c:v>
                </c:pt>
                <c:pt idx="13">
                  <c:v>43173</c:v>
                </c:pt>
                <c:pt idx="14">
                  <c:v>43174</c:v>
                </c:pt>
                <c:pt idx="15">
                  <c:v>43175</c:v>
                </c:pt>
                <c:pt idx="16">
                  <c:v>43176</c:v>
                </c:pt>
                <c:pt idx="17">
                  <c:v>43177</c:v>
                </c:pt>
                <c:pt idx="18">
                  <c:v>43178</c:v>
                </c:pt>
                <c:pt idx="19">
                  <c:v>43179</c:v>
                </c:pt>
                <c:pt idx="20">
                  <c:v>43180</c:v>
                </c:pt>
                <c:pt idx="21">
                  <c:v>43181</c:v>
                </c:pt>
              </c:numCache>
            </c:numRef>
          </c:cat>
          <c:val>
            <c:numRef>
              <c:f>累计收益率!$B$2:$B$23</c:f>
              <c:numCache>
                <c:formatCode>General</c:formatCode>
                <c:ptCount val="22"/>
                <c:pt idx="0">
                  <c:v>0</c:v>
                </c:pt>
                <c:pt idx="1">
                  <c:v>0</c:v>
                </c:pt>
                <c:pt idx="2">
                  <c:v>6.1594000000000003E-2</c:v>
                </c:pt>
                <c:pt idx="3">
                  <c:v>9.5394000000000007E-2</c:v>
                </c:pt>
                <c:pt idx="4">
                  <c:v>0.110994</c:v>
                </c:pt>
                <c:pt idx="5">
                  <c:v>9.0973999999999999E-2</c:v>
                </c:pt>
                <c:pt idx="6">
                  <c:v>8.6814000000000002E-2</c:v>
                </c:pt>
                <c:pt idx="7">
                  <c:v>0.100854</c:v>
                </c:pt>
                <c:pt idx="8">
                  <c:v>0.1043481</c:v>
                </c:pt>
                <c:pt idx="9">
                  <c:v>5.66481E-2</c:v>
                </c:pt>
                <c:pt idx="10">
                  <c:v>4.5681000000000003E-3</c:v>
                </c:pt>
                <c:pt idx="11">
                  <c:v>8.0081000000000006E-3</c:v>
                </c:pt>
                <c:pt idx="12">
                  <c:v>8.7881000000000001E-3</c:v>
                </c:pt>
                <c:pt idx="13">
                  <c:v>-1.9719E-3</c:v>
                </c:pt>
                <c:pt idx="14">
                  <c:v>-1.8831899999999999E-2</c:v>
                </c:pt>
                <c:pt idx="15">
                  <c:v>-2.5411900000000001E-2</c:v>
                </c:pt>
                <c:pt idx="16">
                  <c:v>-9.4631900000000005E-2</c:v>
                </c:pt>
                <c:pt idx="17">
                  <c:v>-2.2191900000000001E-2</c:v>
                </c:pt>
                <c:pt idx="18">
                  <c:v>3.5680999999999998E-3</c:v>
                </c:pt>
                <c:pt idx="19">
                  <c:v>-7.5519000000000003E-3</c:v>
                </c:pt>
                <c:pt idx="20">
                  <c:v>-1.4319000000000001E-3</c:v>
                </c:pt>
                <c:pt idx="21">
                  <c:v>1.4168099999999999E-2</c:v>
                </c:pt>
              </c:numCache>
            </c:numRef>
          </c:val>
          <c:smooth val="0"/>
          <c:extLst>
            <c:ext xmlns:c16="http://schemas.microsoft.com/office/drawing/2014/chart" uri="{C3380CC4-5D6E-409C-BE32-E72D297353CC}">
              <c16:uniqueId val="{00000000-3353-406F-85DD-DAE17DBE602E}"/>
            </c:ext>
          </c:extLst>
        </c:ser>
        <c:ser>
          <c:idx val="1"/>
          <c:order val="1"/>
          <c:tx>
            <c:strRef>
              <c:f>累计收益率!$C$1</c:f>
              <c:strCache>
                <c:ptCount val="1"/>
                <c:pt idx="0">
                  <c:v>基准收益率</c:v>
                </c:pt>
              </c:strCache>
            </c:strRef>
          </c:tx>
          <c:spPr>
            <a:ln w="28575" cap="rnd">
              <a:solidFill>
                <a:schemeClr val="accent2"/>
              </a:solidFill>
              <a:round/>
            </a:ln>
            <a:effectLst/>
          </c:spPr>
          <c:marker>
            <c:symbol val="none"/>
          </c:marker>
          <c:cat>
            <c:numRef>
              <c:f>累计收益率!$A$2:$A$23</c:f>
              <c:numCache>
                <c:formatCode>m/d/yyyy</c:formatCode>
                <c:ptCount val="22"/>
                <c:pt idx="0">
                  <c:v>43160</c:v>
                </c:pt>
                <c:pt idx="1">
                  <c:v>43161</c:v>
                </c:pt>
                <c:pt idx="2">
                  <c:v>43162</c:v>
                </c:pt>
                <c:pt idx="3">
                  <c:v>43163</c:v>
                </c:pt>
                <c:pt idx="4">
                  <c:v>43164</c:v>
                </c:pt>
                <c:pt idx="5">
                  <c:v>43165</c:v>
                </c:pt>
                <c:pt idx="6">
                  <c:v>43166</c:v>
                </c:pt>
                <c:pt idx="7">
                  <c:v>43167</c:v>
                </c:pt>
                <c:pt idx="8">
                  <c:v>43168</c:v>
                </c:pt>
                <c:pt idx="9">
                  <c:v>43169</c:v>
                </c:pt>
                <c:pt idx="10">
                  <c:v>43170</c:v>
                </c:pt>
                <c:pt idx="11">
                  <c:v>43171</c:v>
                </c:pt>
                <c:pt idx="12">
                  <c:v>43172</c:v>
                </c:pt>
                <c:pt idx="13">
                  <c:v>43173</c:v>
                </c:pt>
                <c:pt idx="14">
                  <c:v>43174</c:v>
                </c:pt>
                <c:pt idx="15">
                  <c:v>43175</c:v>
                </c:pt>
                <c:pt idx="16">
                  <c:v>43176</c:v>
                </c:pt>
                <c:pt idx="17">
                  <c:v>43177</c:v>
                </c:pt>
                <c:pt idx="18">
                  <c:v>43178</c:v>
                </c:pt>
                <c:pt idx="19">
                  <c:v>43179</c:v>
                </c:pt>
                <c:pt idx="20">
                  <c:v>43180</c:v>
                </c:pt>
                <c:pt idx="21">
                  <c:v>43181</c:v>
                </c:pt>
              </c:numCache>
            </c:numRef>
          </c:cat>
          <c:val>
            <c:numRef>
              <c:f>累计收益率!$C$2:$C$23</c:f>
              <c:numCache>
                <c:formatCode>General</c:formatCode>
                <c:ptCount val="22"/>
                <c:pt idx="0">
                  <c:v>6.3238238000000004E-3</c:v>
                </c:pt>
                <c:pt idx="1">
                  <c:v>-1.7845775E-3</c:v>
                </c:pt>
                <c:pt idx="2">
                  <c:v>-1.3779806E-3</c:v>
                </c:pt>
                <c:pt idx="3">
                  <c:v>1.06677496E-2</c:v>
                </c:pt>
                <c:pt idx="4">
                  <c:v>3.2339114E-3</c:v>
                </c:pt>
                <c:pt idx="5">
                  <c:v>1.3410389599999999E-2</c:v>
                </c:pt>
                <c:pt idx="6">
                  <c:v>2.1180738899999999E-2</c:v>
                </c:pt>
                <c:pt idx="7">
                  <c:v>2.5853371900000002E-2</c:v>
                </c:pt>
                <c:pt idx="8">
                  <c:v>1.6803634200000001E-2</c:v>
                </c:pt>
                <c:pt idx="9">
                  <c:v>1.2352790400000001E-2</c:v>
                </c:pt>
                <c:pt idx="10">
                  <c:v>1.8023772699999999E-2</c:v>
                </c:pt>
                <c:pt idx="11">
                  <c:v>8.1471224999999994E-3</c:v>
                </c:pt>
                <c:pt idx="12">
                  <c:v>1.2577263700000001E-2</c:v>
                </c:pt>
                <c:pt idx="13">
                  <c:v>1.3436236799999999E-2</c:v>
                </c:pt>
                <c:pt idx="14">
                  <c:v>9.2972248999999996E-3</c:v>
                </c:pt>
                <c:pt idx="15">
                  <c:v>-8.1828860000000001E-4</c:v>
                </c:pt>
                <c:pt idx="16">
                  <c:v>-2.9502131300000001E-2</c:v>
                </c:pt>
                <c:pt idx="17">
                  <c:v>-3.5725971099999997E-2</c:v>
                </c:pt>
                <c:pt idx="18">
                  <c:v>-2.7431022400000001E-2</c:v>
                </c:pt>
                <c:pt idx="19">
                  <c:v>-4.4965735600000001E-2</c:v>
                </c:pt>
                <c:pt idx="20">
                  <c:v>-3.2207566200000003E-2</c:v>
                </c:pt>
                <c:pt idx="21">
                  <c:v>-3.1102124799999999E-2</c:v>
                </c:pt>
              </c:numCache>
            </c:numRef>
          </c:val>
          <c:smooth val="0"/>
          <c:extLst>
            <c:ext xmlns:c16="http://schemas.microsoft.com/office/drawing/2014/chart" uri="{C3380CC4-5D6E-409C-BE32-E72D297353CC}">
              <c16:uniqueId val="{00000001-3353-406F-85DD-DAE17DBE602E}"/>
            </c:ext>
          </c:extLst>
        </c:ser>
        <c:dLbls>
          <c:showLegendKey val="0"/>
          <c:showVal val="0"/>
          <c:showCatName val="0"/>
          <c:showSerName val="0"/>
          <c:showPercent val="0"/>
          <c:showBubbleSize val="0"/>
        </c:dLbls>
        <c:smooth val="0"/>
        <c:axId val="502956992"/>
        <c:axId val="502957320"/>
      </c:lineChart>
      <c:dateAx>
        <c:axId val="502956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02957320"/>
        <c:crosses val="autoZero"/>
        <c:auto val="1"/>
        <c:lblOffset val="100"/>
        <c:baseTimeUnit val="days"/>
      </c:dateAx>
      <c:valAx>
        <c:axId val="50295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50295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宋体" panose="02010600030101010101" pitchFamily="2" charset="-122"/>
              <a:ea typeface="宋体" panose="02010600030101010101" pitchFamily="2"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2018-04-21T00:00:00</PublishDate>
  <Abstract>运用投资组合理论制定量化策略</Abstract>
  <CompanyAddress>2018-4-21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3B241-7275-46AA-B6B8-42765999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2265</Words>
  <Characters>12914</Characters>
  <Application>Microsoft Office Word</Application>
  <DocSecurity>0</DocSecurity>
  <Lines>107</Lines>
  <Paragraphs>30</Paragraphs>
  <ScaleCrop>false</ScaleCrop>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《基于MVO理论和CAPM模型的量化策略》</dc:title>
  <dc:subject>组 长：聂 聪                                                组 员：孔杏华、李 爽、邓竺奇、毛宇婷、王玉潇</dc:subject>
  <dc:creator>组 长：聂 聪                                                    组 员：孔杏华 李 爽 邓竺奇 毛宇婷 王玉潇</dc:creator>
  <cp:keywords/>
  <dc:description/>
  <cp:lastModifiedBy>聂 聪</cp:lastModifiedBy>
  <cp:revision>2</cp:revision>
  <dcterms:created xsi:type="dcterms:W3CDTF">2018-04-21T15:35:00Z</dcterms:created>
  <dcterms:modified xsi:type="dcterms:W3CDTF">2018-04-21T15:35:00Z</dcterms:modified>
  <cp:category>2018-4-21</cp:category>
</cp:coreProperties>
</file>