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2"/>
        </w:rPr>
        <w:t>金乐鑫对标案例报告</w:t>
      </w:r>
    </w:p>
    <w:p>
      <w:pPr>
        <w:jc w:val="center"/>
      </w:pPr>
      <w:r>
        <w:rPr>
          <w:i/>
        </w:rPr>
        <w:t>“潜江虾局”潜江小龙虾预制菜品牌形象与包装设计</w:t>
      </w:r>
    </w:p>
    <w:p>
      <w:r>
        <w:t>报告用途：用于开题调研、案例分析、设计方法提炼和毕业设计视觉方向确认。</w:t>
      </w:r>
    </w:p>
    <w:p>
      <w:pPr>
        <w:pStyle w:val="Heading1"/>
      </w:pPr>
      <w:r>
        <w:t>案例 1：潜江龙虾地域品牌</w:t>
      </w:r>
    </w:p>
    <w:p>
      <w:r>
        <w:rPr>
          <w:b/>
        </w:rPr>
        <w:t>案例链接：</w:t>
      </w:r>
      <w:hyperlink r:id="rId9">
        <w:r>
          <w:rPr>
            <w:color w:val="1A5E9A"/>
            <w:u w:val="single"/>
          </w:rPr>
          <w:t>https://zh.wikipedia.org/wiki/%E6%BD%9C%E6%B1%9F%E9%BE%99%E8%99%BE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shd w:fill="F2F4F7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案例启发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潜江龙虾具有地理标志、龙虾节和“中国小龙虾美食之乡”等地域资产。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与本选题关联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可作为品牌背书，转化为产地印章、地域地图、龙虾节场景和正宗潜江风味叙事。</w:t>
            </w:r>
          </w:p>
        </w:tc>
      </w:tr>
    </w:tbl>
    <w:p>
      <w:pPr>
        <w:pStyle w:val="Heading1"/>
      </w:pPr>
      <w:r>
        <w:t>案例 2：潜江龙虾城城市地标</w:t>
      </w:r>
    </w:p>
    <w:p>
      <w:r>
        <w:rPr>
          <w:b/>
        </w:rPr>
        <w:t>案例链接：</w:t>
      </w:r>
      <w:hyperlink r:id="rId10">
        <w:r>
          <w:rPr>
            <w:color w:val="1A5E9A"/>
            <w:u w:val="single"/>
          </w:rPr>
          <w:t>https://zh.wikipedia.org/wiki/%E6%BD%9C%E6%B1%9F%E9%BE%99%E8%99%BE%E5%9F%8E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shd w:fill="F2F4F7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案例启发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以龙虾为媒形成餐饮、旅游和城市地标，具备场景传播价值。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与本选题关联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可借鉴其“到潜江吃虾”的城市记忆，设计夜宵局、打卡墙和电商开箱场景。</w:t>
            </w:r>
          </w:p>
        </w:tc>
      </w:tr>
    </w:tbl>
    <w:p>
      <w:pPr>
        <w:pStyle w:val="Heading1"/>
      </w:pPr>
      <w:r>
        <w:t>案例 3：自嗨锅自热食品品牌</w:t>
      </w:r>
    </w:p>
    <w:p>
      <w:r>
        <w:rPr>
          <w:b/>
        </w:rPr>
        <w:t>案例链接：</w:t>
      </w:r>
      <w:hyperlink r:id="rId11">
        <w:r>
          <w:rPr>
            <w:color w:val="1A5E9A"/>
            <w:u w:val="single"/>
          </w:rPr>
          <w:t>https://zh.wikipedia.org/wiki/%E8%87%AA%E5%97%A8%E9%94%85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shd w:fill="F2F4F7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案例启发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以年轻人便利消费为核心，把自热食品做成强识别快消品牌。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与本选题关联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可借鉴其强口味、强货架识别和便利食用说明，优化预制小龙虾包装信息层级。</w:t>
            </w:r>
          </w:p>
        </w:tc>
      </w:tr>
    </w:tbl>
    <w:p>
      <w:pPr>
        <w:pStyle w:val="Heading1"/>
      </w:pPr>
      <w:r>
        <w:t>案例 4：小龙坎食品与火锅快消化</w:t>
      </w:r>
    </w:p>
    <w:p>
      <w:r>
        <w:rPr>
          <w:b/>
        </w:rPr>
        <w:t>案例链接：</w:t>
      </w:r>
      <w:hyperlink r:id="rId12">
        <w:r>
          <w:rPr>
            <w:color w:val="1A5E9A"/>
            <w:u w:val="single"/>
          </w:rPr>
          <w:t>https://zh.wikipedia.org/wiki/%E5%B0%8F%E9%BE%99%E5%9D%8E%E8%80%81%E7%81%AB%E9%94%85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shd w:fill="F2F4F7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案例启发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餐饮品牌向自热食品、外卖和快消产品延伸，强调年轻市场和场景化。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与本选题关联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可借鉴餐饮品牌快消化的方法，把“虾局”从堂食夜宵转化为家庭/宿舍预制菜。</w:t>
            </w:r>
          </w:p>
        </w:tc>
      </w:tr>
    </w:tbl>
    <w:p>
      <w:pPr>
        <w:pStyle w:val="Heading1"/>
      </w:pPr>
      <w:r>
        <w:t>案例 5：盒马鲜生新零售食品包装</w:t>
      </w:r>
    </w:p>
    <w:p>
      <w:r>
        <w:rPr>
          <w:b/>
        </w:rPr>
        <w:t>案例链接：</w:t>
      </w:r>
      <w:hyperlink r:id="rId13">
        <w:r>
          <w:rPr>
            <w:color w:val="1A5E9A"/>
            <w:u w:val="single"/>
          </w:rPr>
          <w:t>https://zh.wikipedia.org/wiki/%E7%9B%92%E9%A6%AC%E9%AE%9C%E7%94%9F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00"/>
            <w:shd w:fill="F2F4F7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案例启发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强调线上线下融合、生鲜冷链、扫码信息和即时消费。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与本选题关联</w:t>
            </w:r>
          </w:p>
        </w:tc>
        <w:tc>
          <w:tcPr>
            <w:tcW w:type="dxa" w:w="7560"/>
            <w:vAlign w:val="center"/>
          </w:tcPr>
          <w:p>
            <w:pPr>
              <w:spacing w:after="60"/>
            </w:pPr>
            <w:r>
              <w:rPr>
                <w:rFonts w:ascii="Arial" w:hAnsi="Arial" w:eastAsia="Microsoft YaHei"/>
                <w:sz w:val="19"/>
              </w:rPr>
              <w:t>可借鉴其新零售思路，设计冷链外箱、电商详情页、扫码烹饪说明和到家场景。</w:t>
            </w:r>
          </w:p>
        </w:tc>
      </w:tr>
    </w:tbl>
    <w:sectPr w:rsidR="00FC693F" w:rsidRPr="0006063C" w:rsidSect="00034616">
      <w:pgSz w:w="12240" w:h="15840"/>
      <w:pgMar w:top="1152" w:right="1123" w:bottom="1152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4304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zh.wikipedia.org/wiki/%E6%BD%9C%E6%B1%9F%E9%BE%99%E8%99%BE" TargetMode="External"/><Relationship Id="rId10" Type="http://schemas.openxmlformats.org/officeDocument/2006/relationships/hyperlink" Target="https://zh.wikipedia.org/wiki/%E6%BD%9C%E6%B1%9F%E9%BE%99%E8%99%BE%E5%9F%8E" TargetMode="External"/><Relationship Id="rId11" Type="http://schemas.openxmlformats.org/officeDocument/2006/relationships/hyperlink" Target="https://zh.wikipedia.org/wiki/%E8%87%AA%E5%97%A8%E9%94%85" TargetMode="External"/><Relationship Id="rId12" Type="http://schemas.openxmlformats.org/officeDocument/2006/relationships/hyperlink" Target="https://zh.wikipedia.org/wiki/%E5%B0%8F%E9%BE%99%E5%9D%8E%E8%80%81%E7%81%AB%E9%94%85" TargetMode="External"/><Relationship Id="rId13" Type="http://schemas.openxmlformats.org/officeDocument/2006/relationships/hyperlink" Target="https://zh.wikipedia.org/wiki/%E7%9B%92%E9%A6%AC%E9%AE%9C%E7%94%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