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名理派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名理一派，承老庄之形而上学旨趣。盖清谈之辈，多作俏皮语、抖机灵者。其中能把握老庄之部分理论者</w:t>
      </w:r>
      <w:bookmarkStart w:id="2" w:name="_GoBack"/>
      <w:bookmarkEnd w:id="2"/>
      <w:r>
        <w:rPr>
          <w:rFonts w:hint="eastAsia"/>
          <w:lang w:val="en-US" w:eastAsia="zh-CN"/>
        </w:rPr>
        <w:t>，已属高士矣。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现就代表人物和著作，论此派大要。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王弼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史传王弼（226-249）“好论儒道，辞才逸辩”，大抵论述颇多。今传王弼著作，有《老子》注和《易》注。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弼注《老子》，基本能把握其形而上学理论。其旨谓“道”或“无”为超越经验世界的至高存有，又为经验世界的源头。万物流变不息，皆受永恒的“道”的支配。就此而言，王注虽多文人铺排之语，但大旨与老子合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老子之学尚有特殊的价值观念，即自我境界问题。对此，《老子》中所论尚欠周全，而《庄子》内篇所论甚为严整。就理论而言，道家之形而上学观念是为支撑其价值理论而立，故后者较前者更为重要。就内容而言，道家之自我系观道之自我，超越经验世界，于经验世界中无所追求，仅观赏其在道的支配下的运行。换言之，老庄之自我不在经验世界寻找价值。此超越性自我系老庄之精意，而王弼于此全未涉及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弼注《易》，不过借古人之文阐述自己的思想，非阐述《易》之本意。此为古代学者常有之弊病，不必在意。其中值得注意者，不过谓“一”为“多”之起源，并支配“多”。此实为老庄之形而上学观念，用语不同耳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总之，王弼基本能正确把握道家之形而上学观念，却不解道家观赏世界之境界。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《庄子注疏》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《庄子注疏》为魏晋玄学之重要文献，传为</w:t>
      </w:r>
      <w:bookmarkStart w:id="0" w:name="OLE_LINK1"/>
      <w:r>
        <w:rPr>
          <w:rFonts w:hint="eastAsia"/>
          <w:lang w:val="en-US" w:eastAsia="zh-CN"/>
        </w:rPr>
        <w:t>郭象</w:t>
      </w:r>
      <w:bookmarkEnd w:id="0"/>
      <w:r>
        <w:rPr>
          <w:rFonts w:hint="eastAsia"/>
          <w:lang w:val="en-US" w:eastAsia="zh-CN"/>
        </w:rPr>
        <w:t>（252-312）所作。然《晋书·郭象传》谓郭象窃</w:t>
      </w:r>
      <w:bookmarkStart w:id="1" w:name="OLE_LINK2"/>
      <w:r>
        <w:rPr>
          <w:rFonts w:hint="eastAsia"/>
          <w:lang w:val="en-US" w:eastAsia="zh-CN"/>
        </w:rPr>
        <w:t>向秀</w:t>
      </w:r>
      <w:bookmarkEnd w:id="1"/>
      <w:r>
        <w:rPr>
          <w:rFonts w:hint="eastAsia"/>
          <w:lang w:val="en-US" w:eastAsia="zh-CN"/>
        </w:rPr>
        <w:t>（227-272）所作之《庄子注》为己作。但《晋书·向秀传》又谓郭象仅“述而广之”，不曾窃取向注。此中细节，本文不作考证，仅就今传《庄子注疏》观名理一派之理论。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道家之形而上学，以“道”为经验世界之起源和支配力量，即由“无”生“有”。《庄子注疏》则否认有生于无的说法，其文谓：</w:t>
      </w:r>
    </w:p>
    <w:p>
      <w:pPr>
        <w:ind w:firstLine="420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无既无矣，则不能生有；有之未生，又不能为生，然则生生者谁哉？块然而自生耳。自生耳，非我生也。我既不能生物，物亦不能生我，则我自然矣。自己而然，谓之天然。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此谓“无”不能生“有”。那么万物为何如此？答曰：万物自己如此。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既然万象皆“自己而然”，则其存在和运行不依赖于任何外部条件，即“无待”；经验世界的一切事象完全由自身决定，故曰“独化”。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万物本身皆自然如此，无需增减，则人之自觉于经验世界不能有所成就。因此，面对经验世界，人应不加干预，使万物“各任其自为”，即“无为”。由此，自觉心于经验世界，只能持观赏态度，而不能有任何作为。此为庄子所论之逍遥境界，而《庄子注疏》称之为“无待”，言自我不执于物也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总之，《庄子注疏》能把握道家以超越性自我观赏经验世界的境界，其对道家学说的了解亦仅限于此。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630D6"/>
    <w:rsid w:val="53F619A1"/>
    <w:rsid w:val="5F79672D"/>
    <w:rsid w:val="7B697E6E"/>
    <w:rsid w:val="7D92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2020-06-28T12:11:29Z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