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阴阳家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阴阳家之学起源于方术，以宇宙论为主。此类学说带有迷信色彩。盖古代宇宙论想象成分居多，大多诉诸超自然力量。于自然科学发达之今日观古代宇宙论，其幼稚浅薄甚为明显。此为古代哲学常有之事，不足为奇，亦不足为病。然而，方术之学终究是与事实打交道，以积极态度解释事象，致力于诠释其规律，预测其发展，有征服自然之态度。此类学说代表科学精神，在历史发展中往往成为古代科学之萌芽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秦时期，此类学说大致可分为论阴阳者和论五行者。这两种思想各自独立发展，而后逐渐交汇，统称为阴阳家。《汉书·艺文志》谓阴阳家之典籍，有二十一家，三百六十九篇，今已失传殆尽。现论阴阳家，所依资料系《易经》以及包括《易传》《尚书》《礼记》《吕氏春秋》等杂辑之籍中涉及阴阳五行及宇宙论者。此类资料，时代难定。《易经》之卦爻体系反映上古原始思想；其余较晚近者，最晚可至汉初，但大部分可推测为战国之著作，至少反映了战国时期的思想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阴阳家于战国末年盛行，且渐与卜筮合流。秦始皇焚书，不去卜筮。故经秦燹，诸子之学皆绝而阴阳家独存。自汉以降，阴阳家之学混入儒道，反蔽孔老之精意。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卦爻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一般言阴阳，多与《易》相关。今传《易》中，《易经》言卦爻，系上古时代宇宙论之资料，其时代不晚于周初；《易传》始论阴阳，系自战国至汉杂辑而成。先论《易经》之卦爻体系。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易经》本占卜之书。殷人以甲骨受火龟裂之纹路占卜，即为“卜”。此类纹路千变万化，不易解读。周以降，“卜”逐渐被淘汰，“筮”逐渐流行。所谓“筮”，即取一束蓍草，每次从中取出两株；最后所剩，若为单数，则以“—”记之；若为双数，则以“--”记之。“—”和“--”即为“爻”。“卦”则为三“爻”上下排列而成，故共有八“卦”，即乾坎艮震，巽离坤兑。其形状为“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乾三连，坤六断，震仰盂，艮覆碗，离中虚，坎中满，兑上缺，巽下断</w:t>
      </w:r>
      <w:r>
        <w:rPr>
          <w:rFonts w:hint="eastAsia"/>
          <w:lang w:val="en-US" w:eastAsia="zh-CN"/>
        </w:rPr>
        <w:t>”。八“卦”中任意两“卦”上下排列，遂有六十四“重卦”。重复蓍草占卜六次，便可得一重卦。对照《易经》中的卦爻辞，便可解其含义。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卦爻之组织本是一种符号游戏，但重卦之命名与排列反映一种宇宙秩序的观念。六十四重卦各代表宇宙历程之某一阶段，其中各爻又代表此一阶段中的某一部分。合而观之，便是整个宇宙之运行历程。其中，“乾”“坤”为重卦之首。“乾”指“发生”；“坤”本意为“地”，指发生之质料。“乾”“坤”为重卦之首，即发生之形式动力与所凭之质料为宇宙过程之基本条件。由此，宇宙经历各个阶段，以“既济”和“未济”结束。“既济”即已经完成。然而宇宙系无限之时空，其运行永不停止，故最后以“未济”，即未完成结束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卦既用于占卜，则其意义不仅指宇宙秩序。六十四重卦所代表的阶段，既属宇宙历程，又属人生历程。由此，宇宙历程和人生历程遂有对应关系。换言之，六十四重卦谓宇宙历程和人生历程各有六十四给阶段，而每个阶段又有六个小阶段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论卦爻辞。卦爻辞本是解释各卦或各爻之吉凶或意义，体例颇不一致。其中所透露出的理论，大致可概括为“物极必反”和“居中为上”两点。“物极必反”即重卦为吉，其最后一爻反凶；重卦为凶，其最后一爻反吉。“居中为上”即重卦之第二、第五爻多吉。盖每一重卦由两卦组成，则第二、第五爻分别为两卦之正中，多为吉爻。此可视为基于宇宙论的价值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阴阳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阴阳之观念主要见于《易传》。阴和阳两种相反相成的力量相互作用，产生宇宙万物。而万物之运行亦依赖阴和阳之作用。此一观念颇为古老。《国语·周语上》载周幽王二年（780 BC）地震，史官伯阳父评论曰：</w:t>
      </w:r>
    </w:p>
    <w:p>
      <w:pPr>
        <w:ind w:firstLine="420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阳伏而不能出，阴迫而不能烝，于是有地震。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此即以阴阳运行解释自然现象。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易传》中，阴阳和卦爻相关联，谓“—”为阳爻，“--”为阴爻。如此则八卦各分阴阳，其中乾之三爻皆为阳，故乾为纯阳；坤之三爻皆为阴，故坤为纯阴。其余各卦，皆为乾和坤相交而成。故乾和坤被视为父母，其余诸卦皆为其子女。《易传·说卦传》云：</w:t>
      </w:r>
    </w:p>
    <w:p>
      <w:pPr>
        <w:ind w:firstLine="420"/>
        <w:rPr>
          <w:rFonts w:hint="eastAsia" w:ascii="华文新魏" w:hAnsi="华文新魏" w:eastAsia="华文新魏" w:cs="华文新魏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乾天也，故称父，坤地也，故称母；震一索而得男，故谓之长男；巽一索而得女，故谓之长女；坎再索而男，故谓之中男；离再索而得女，故谓之中女；艮三索而得男，故谓之少男；兑三索而得女，故谓之少女。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更进一步，《易传》将八卦与具体事物相对应，其大要为：乾为天，坤为地，震为雷，巽为风，坎为水，离为火，艮为山，兑为泽。由此，则乾和坤之相交产生其余六卦，即阳和阴相交，产生世间万物。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五行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五行之说，现有最早的可靠资料是《尚书·洪范》。此篇传说是武王伐纣后，箕子为武王讲述传自大禹的治国之法。现代学者考《洪范》之年代，以为当在公元前四世纪。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尚书·洪范》所描述的五行，为水、火、木、金、土。又谓人类社会和自然世界相关联，国君的恶行会伴随自然界的不正常现象，如地震、洪水、干旱等。需要指出的是，《洪范》中的五行观念比较原始，仍局限于具体的水、火等事物。后世言五行，则指五种相生相灭的抽象力量，仍冠以水、火、木、金、土之名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《礼记·月令》进一步发展《尚书·洪范》中的五行观念，将五行和时间、空间相对应，并强调人类活动和自然现象之关系。《月令》谓火为南方，为夏季，盖南方和夏天比较热；水为北方，为冬季，盖北方和冬季比较冷；金为西方，为秋季，盖秋季草木凋零，盛行西风，且五行中木被金克；木为东方，为春季，盖春季草木茂盛，盛行东风；土在时间上为一年之中，即夏末秋初的一段时间，在空间上则为中央。此外，五行之相互作用亦是四季流转之原因。盖木生火，火生土，土生金，金生水，水生木；一年四季亦由此周而复始。由此，一个由五行观念所构建的宇宙之时空构架得以完成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月令》还将自然现象和人类活动相关联，规定君王每个月应当做什么。此类规定大可涉及政治活动，如政令之发布或者战争；小可包括日常生活之琐事，如君王之衣食住行。反之，如果君王违背此类规定，则会引起不正常的自然现象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至此，五行与宇宙之时空框架相关联，而时空又与人类活动相关联。则五行与人类活动之关系如何？《吕氏春秋·有始览》以五行解释朝代更迭：</w:t>
      </w:r>
    </w:p>
    <w:p>
      <w:pPr>
        <w:ind w:firstLine="420"/>
        <w:rPr>
          <w:rFonts w:hint="eastAsia" w:ascii="华文新魏" w:hAnsi="华文新魏" w:eastAsia="华文新魏" w:cs="华文新魏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凡帝王者之将兴也，天必先见祥乎下民。黄帝之时，天先见大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蚓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大蝼。黄帝曰：“土气胜。”土气胜，故其色尚黄，其事则土。及禹之时，天先见草木秋冬不杀。禹曰：“木气胜。”木气胜，故其色尚青，其事则木。及汤之时，天先见金刃生於水。汤曰：“金气胜。”金气胜，故其色尚白，其事则金。及文王之时，天先见火赤乌衔丹书集于周社。文王曰：“火气胜。”火气胜，故其色尚赤，其事则火。代火者必将水，天且先见水气胜。水气胜，故其色尚黑，其事则水。水气至而不知数备，将徙于土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此将朝代兴衰归因于五行生克，且以此规律对未来作一预测。至此，宇宙运行和人类活动皆归因于五行生克。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阴阳和五行在理论上相汇于数字。《易传》将宇宙之运行归于阴阳，而又将阴阳归于数字，谓单数为阳，偶数为阴。五行亦产生并完成于数字：水生于一，完成于六；火生于二，完成于七；木生于三，完成于八；金生于四，完成于九；土生于五，完成于十。如此，阴阳和五行借由数字相联系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4A548B"/>
    <w:rsid w:val="1DBB51FF"/>
    <w:rsid w:val="2C5539AC"/>
    <w:rsid w:val="39E21FA5"/>
    <w:rsid w:val="3F086DD4"/>
    <w:rsid w:val="65B91AF0"/>
    <w:rsid w:val="79EE4FA8"/>
    <w:rsid w:val="7FA9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34919</dc:creator>
  <cp:lastModifiedBy>刘</cp:lastModifiedBy>
  <dcterms:modified xsi:type="dcterms:W3CDTF">2020-06-21T13:43:40Z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